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5356" w:rsidRPr="007F5255" w:rsidRDefault="00845356" w:rsidP="00845356">
      <w:pPr>
        <w:jc w:val="center"/>
        <w:rPr>
          <w:b/>
          <w:sz w:val="20"/>
          <w:szCs w:val="20"/>
        </w:rPr>
      </w:pPr>
    </w:p>
    <w:p w:rsidR="0065036E" w:rsidRPr="007F5255" w:rsidRDefault="0065036E" w:rsidP="0015101D">
      <w:pPr>
        <w:tabs>
          <w:tab w:val="left" w:pos="5103"/>
          <w:tab w:val="left" w:pos="7938"/>
        </w:tabs>
        <w:spacing w:before="0" w:after="0" w:line="240" w:lineRule="auto"/>
        <w:ind w:firstLine="3828"/>
        <w:jc w:val="left"/>
        <w:rPr>
          <w:b/>
          <w:sz w:val="20"/>
          <w:szCs w:val="20"/>
          <w:lang w:eastAsia="en-US"/>
        </w:rPr>
      </w:pPr>
    </w:p>
    <w:p w:rsidR="0015101D" w:rsidRPr="007F5255" w:rsidRDefault="0015101D" w:rsidP="0015101D">
      <w:pPr>
        <w:tabs>
          <w:tab w:val="left" w:pos="5103"/>
          <w:tab w:val="left" w:pos="7938"/>
        </w:tabs>
        <w:spacing w:before="0" w:after="0" w:line="240" w:lineRule="auto"/>
        <w:ind w:firstLine="3828"/>
        <w:jc w:val="left"/>
        <w:rPr>
          <w:b/>
          <w:sz w:val="20"/>
          <w:szCs w:val="20"/>
          <w:lang w:eastAsia="en-US"/>
        </w:rPr>
      </w:pPr>
      <w:r w:rsidRPr="007F5255">
        <w:rPr>
          <w:b/>
          <w:sz w:val="20"/>
          <w:szCs w:val="20"/>
          <w:lang w:eastAsia="en-US"/>
        </w:rPr>
        <w:t>ОДОБРИЛ:</w:t>
      </w:r>
    </w:p>
    <w:p w:rsidR="0015101D" w:rsidRPr="007F5255" w:rsidRDefault="0015101D" w:rsidP="0015101D">
      <w:pPr>
        <w:tabs>
          <w:tab w:val="left" w:pos="5103"/>
          <w:tab w:val="left" w:pos="7938"/>
        </w:tabs>
        <w:spacing w:before="0" w:after="0" w:line="240" w:lineRule="auto"/>
        <w:ind w:firstLine="3828"/>
        <w:jc w:val="left"/>
        <w:rPr>
          <w:b/>
          <w:sz w:val="20"/>
          <w:szCs w:val="20"/>
          <w:lang w:eastAsia="en-US"/>
        </w:rPr>
      </w:pPr>
    </w:p>
    <w:p w:rsidR="0015101D" w:rsidRPr="007F5255" w:rsidRDefault="0015101D" w:rsidP="00E92ADC">
      <w:pPr>
        <w:ind w:left="4248" w:firstLine="147"/>
        <w:jc w:val="center"/>
        <w:rPr>
          <w:b/>
          <w:sz w:val="20"/>
          <w:szCs w:val="20"/>
        </w:rPr>
      </w:pPr>
      <w:r w:rsidRPr="007F5255">
        <w:rPr>
          <w:b/>
          <w:sz w:val="20"/>
          <w:szCs w:val="20"/>
        </w:rPr>
        <w:t xml:space="preserve">РЪКОВОДИТЕЛ НА </w:t>
      </w:r>
      <w:r w:rsidR="00E92ADC" w:rsidRPr="007F5255">
        <w:rPr>
          <w:b/>
          <w:sz w:val="20"/>
          <w:szCs w:val="20"/>
        </w:rPr>
        <w:t>ПРОГРАМНИЯ</w:t>
      </w:r>
      <w:r w:rsidRPr="007F5255">
        <w:rPr>
          <w:b/>
          <w:sz w:val="20"/>
          <w:szCs w:val="20"/>
        </w:rPr>
        <w:t xml:space="preserve"> ОПЕРАТОР</w:t>
      </w:r>
    </w:p>
    <w:p w:rsidR="0015101D" w:rsidRPr="007F5255" w:rsidRDefault="0015101D" w:rsidP="00845356">
      <w:pPr>
        <w:jc w:val="center"/>
        <w:rPr>
          <w:b/>
          <w:szCs w:val="18"/>
        </w:rPr>
      </w:pPr>
    </w:p>
    <w:p w:rsidR="0015101D" w:rsidRPr="007F5255" w:rsidRDefault="0015101D" w:rsidP="0015101D">
      <w:pPr>
        <w:spacing w:before="0" w:after="0" w:line="240" w:lineRule="auto"/>
        <w:jc w:val="center"/>
        <w:rPr>
          <w:b/>
          <w:color w:val="000000"/>
          <w:sz w:val="22"/>
          <w:lang w:eastAsia="en-US"/>
        </w:rPr>
      </w:pPr>
      <w:r w:rsidRPr="007F5255">
        <w:rPr>
          <w:b/>
          <w:color w:val="000000"/>
          <w:sz w:val="22"/>
          <w:lang w:eastAsia="en-US"/>
        </w:rPr>
        <w:t>ФИНАНСОВ МЕХАНИЗЪМ НА ЕВРОПЕЙСКОТО ИКОНОМИЧЕСКО ПРОСТРАНСТВО 20</w:t>
      </w:r>
      <w:r w:rsidR="00E2323E" w:rsidRPr="007F5255">
        <w:rPr>
          <w:b/>
          <w:color w:val="000000"/>
          <w:sz w:val="22"/>
          <w:lang w:eastAsia="en-US"/>
        </w:rPr>
        <w:t>14-2021</w:t>
      </w:r>
    </w:p>
    <w:p w:rsidR="00F449B3" w:rsidRPr="007F5255" w:rsidRDefault="00F449B3" w:rsidP="0015101D">
      <w:pPr>
        <w:spacing w:before="0" w:after="0" w:line="240" w:lineRule="auto"/>
        <w:jc w:val="center"/>
        <w:rPr>
          <w:b/>
          <w:color w:val="000000"/>
          <w:sz w:val="22"/>
          <w:lang w:eastAsia="en-US"/>
        </w:rPr>
      </w:pPr>
    </w:p>
    <w:p w:rsidR="0015101D" w:rsidRPr="007F5255" w:rsidRDefault="0015101D" w:rsidP="0015101D">
      <w:pPr>
        <w:spacing w:before="0" w:after="0" w:line="240" w:lineRule="auto"/>
        <w:jc w:val="center"/>
        <w:rPr>
          <w:b/>
          <w:color w:val="000000"/>
          <w:sz w:val="22"/>
          <w:lang w:eastAsia="en-US"/>
        </w:rPr>
      </w:pPr>
      <w:r w:rsidRPr="007F5255">
        <w:rPr>
          <w:b/>
          <w:color w:val="000000"/>
          <w:sz w:val="22"/>
          <w:lang w:eastAsia="en-US"/>
        </w:rPr>
        <w:t>МИНИСТЕРСТВО НА ЕНЕРГЕТИКАТА</w:t>
      </w:r>
    </w:p>
    <w:p w:rsidR="0015101D" w:rsidRPr="007F5255" w:rsidRDefault="0015101D" w:rsidP="0015101D">
      <w:pPr>
        <w:spacing w:line="240" w:lineRule="auto"/>
        <w:jc w:val="center"/>
        <w:rPr>
          <w:b/>
          <w:sz w:val="22"/>
        </w:rPr>
      </w:pPr>
    </w:p>
    <w:p w:rsidR="00845356" w:rsidRPr="007F5255" w:rsidRDefault="00845356" w:rsidP="00845356">
      <w:pPr>
        <w:jc w:val="center"/>
        <w:rPr>
          <w:b/>
          <w:sz w:val="22"/>
        </w:rPr>
      </w:pPr>
      <w:r w:rsidRPr="007F5255">
        <w:rPr>
          <w:b/>
          <w:sz w:val="22"/>
        </w:rPr>
        <w:t>ПРОГРАМА „</w:t>
      </w:r>
      <w:r w:rsidR="00E2323E" w:rsidRPr="007F5255">
        <w:rPr>
          <w:b/>
          <w:sz w:val="22"/>
        </w:rPr>
        <w:t xml:space="preserve">ВЪЗОБНОВЯЕМА ЕНЕРГИЯ, </w:t>
      </w:r>
      <w:r w:rsidRPr="007F5255">
        <w:rPr>
          <w:b/>
          <w:sz w:val="22"/>
        </w:rPr>
        <w:t>ЕНЕРГИЙНА ЕФЕКТИВНОСТ</w:t>
      </w:r>
      <w:r w:rsidR="00E2323E" w:rsidRPr="007F5255">
        <w:rPr>
          <w:b/>
          <w:sz w:val="22"/>
        </w:rPr>
        <w:t>, ЕНЕРГИЙНА СИГУРНОСТ</w:t>
      </w:r>
      <w:r w:rsidRPr="007F5255">
        <w:rPr>
          <w:b/>
          <w:sz w:val="22"/>
        </w:rPr>
        <w:t>“</w:t>
      </w:r>
    </w:p>
    <w:p w:rsidR="00D756F9" w:rsidRPr="007F5255" w:rsidRDefault="00D756F9" w:rsidP="00F721B6">
      <w:pPr>
        <w:jc w:val="center"/>
        <w:rPr>
          <w:b/>
          <w:sz w:val="36"/>
          <w:szCs w:val="36"/>
        </w:rPr>
      </w:pPr>
    </w:p>
    <w:p w:rsidR="00F721B6" w:rsidRPr="007F5255" w:rsidRDefault="00F721B6" w:rsidP="00F721B6">
      <w:pPr>
        <w:jc w:val="center"/>
        <w:rPr>
          <w:b/>
          <w:sz w:val="22"/>
        </w:rPr>
      </w:pPr>
      <w:r w:rsidRPr="007F5255">
        <w:rPr>
          <w:b/>
          <w:sz w:val="22"/>
        </w:rPr>
        <w:t xml:space="preserve"> </w:t>
      </w: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920"/>
      </w:tblGrid>
      <w:tr w:rsidR="00DE5849" w:rsidRPr="007F5255" w:rsidTr="00C274F9">
        <w:trPr>
          <w:trHeight w:val="2767"/>
        </w:trPr>
        <w:tc>
          <w:tcPr>
            <w:tcW w:w="9920" w:type="dxa"/>
            <w:tcBorders>
              <w:top w:val="double" w:sz="12" w:space="0" w:color="ED7D31"/>
              <w:left w:val="double" w:sz="12" w:space="0" w:color="ED7D31"/>
              <w:bottom w:val="double" w:sz="12" w:space="0" w:color="ED7D31"/>
              <w:right w:val="double" w:sz="12" w:space="0" w:color="ED7D31"/>
            </w:tcBorders>
            <w:vAlign w:val="center"/>
          </w:tcPr>
          <w:p w:rsidR="00845356" w:rsidRPr="007F5255" w:rsidRDefault="0069585E" w:rsidP="00141676">
            <w:pPr>
              <w:jc w:val="center"/>
              <w:rPr>
                <w:b/>
                <w:sz w:val="32"/>
                <w:szCs w:val="32"/>
              </w:rPr>
            </w:pPr>
            <w:r w:rsidRPr="007F5255">
              <w:rPr>
                <w:b/>
                <w:sz w:val="32"/>
                <w:szCs w:val="32"/>
              </w:rPr>
              <w:t xml:space="preserve">НАСОКИ ЗА </w:t>
            </w:r>
            <w:r w:rsidR="00845356" w:rsidRPr="007F5255">
              <w:rPr>
                <w:b/>
                <w:sz w:val="32"/>
                <w:szCs w:val="32"/>
              </w:rPr>
              <w:t xml:space="preserve">КАНДИДАТСТВАНЕ </w:t>
            </w:r>
          </w:p>
          <w:p w:rsidR="00DE5849" w:rsidRPr="007F5255" w:rsidRDefault="004A2F11" w:rsidP="0041765C">
            <w:pPr>
              <w:jc w:val="center"/>
              <w:rPr>
                <w:b/>
                <w:sz w:val="32"/>
                <w:szCs w:val="32"/>
              </w:rPr>
            </w:pPr>
            <w:r w:rsidRPr="007F5255">
              <w:rPr>
                <w:b/>
                <w:sz w:val="32"/>
                <w:szCs w:val="32"/>
              </w:rPr>
              <w:t>за</w:t>
            </w:r>
            <w:r w:rsidR="00845356" w:rsidRPr="007F5255">
              <w:rPr>
                <w:b/>
                <w:sz w:val="32"/>
                <w:szCs w:val="32"/>
              </w:rPr>
              <w:t xml:space="preserve"> </w:t>
            </w:r>
            <w:r w:rsidR="00DE5849" w:rsidRPr="007F5255">
              <w:rPr>
                <w:b/>
                <w:sz w:val="32"/>
                <w:szCs w:val="32"/>
              </w:rPr>
              <w:t xml:space="preserve"> </w:t>
            </w:r>
            <w:r w:rsidRPr="007F5255">
              <w:rPr>
                <w:b/>
                <w:sz w:val="32"/>
                <w:szCs w:val="32"/>
              </w:rPr>
              <w:t xml:space="preserve">предварително </w:t>
            </w:r>
            <w:r w:rsidR="0041765C">
              <w:rPr>
                <w:b/>
                <w:sz w:val="32"/>
                <w:szCs w:val="32"/>
              </w:rPr>
              <w:t>дефиниран</w:t>
            </w:r>
            <w:r w:rsidRPr="007F5255">
              <w:rPr>
                <w:b/>
                <w:sz w:val="32"/>
                <w:szCs w:val="32"/>
              </w:rPr>
              <w:t xml:space="preserve"> проект</w:t>
            </w:r>
          </w:p>
        </w:tc>
      </w:tr>
    </w:tbl>
    <w:p w:rsidR="00DD4AC6" w:rsidRPr="007F5255" w:rsidRDefault="00DD4AC6" w:rsidP="00DD4AC6">
      <w:pPr>
        <w:rPr>
          <w:szCs w:val="18"/>
        </w:rPr>
      </w:pPr>
    </w:p>
    <w:p w:rsidR="00343D48" w:rsidRPr="00343D48" w:rsidRDefault="00343D48" w:rsidP="00343D48">
      <w:pPr>
        <w:contextualSpacing/>
        <w:jc w:val="center"/>
        <w:rPr>
          <w:rFonts w:eastAsia="Calibri"/>
          <w:b/>
          <w:iCs/>
          <w:sz w:val="20"/>
          <w:szCs w:val="20"/>
          <w:lang w:eastAsia="ar-SA"/>
        </w:rPr>
      </w:pPr>
      <w:r w:rsidRPr="00343D48">
        <w:rPr>
          <w:b/>
          <w:i/>
          <w:sz w:val="28"/>
          <w:szCs w:val="28"/>
        </w:rPr>
        <w:t>Процедура:</w:t>
      </w:r>
      <w:r w:rsidRPr="00343D48">
        <w:rPr>
          <w:b/>
          <w:i/>
          <w:sz w:val="20"/>
          <w:szCs w:val="20"/>
        </w:rPr>
        <w:t xml:space="preserve"> </w:t>
      </w:r>
      <w:r w:rsidRPr="00343D48">
        <w:rPr>
          <w:rFonts w:eastAsia="Calibri"/>
          <w:b/>
          <w:sz w:val="20"/>
          <w:szCs w:val="20"/>
          <w:lang w:eastAsia="ar-SA"/>
        </w:rPr>
        <w:t>„</w:t>
      </w:r>
      <w:r w:rsidRPr="00A40515">
        <w:rPr>
          <w:rFonts w:eastAsia="Calibri"/>
          <w:b/>
          <w:iCs/>
          <w:sz w:val="20"/>
          <w:szCs w:val="20"/>
          <w:lang w:eastAsia="ar-SA"/>
        </w:rPr>
        <w:t xml:space="preserve">ПРОУЧВАНЕ </w:t>
      </w:r>
      <w:r w:rsidR="009A351B" w:rsidRPr="00D23691">
        <w:rPr>
          <w:rFonts w:eastAsia="Calibri"/>
          <w:b/>
          <w:iCs/>
          <w:sz w:val="20"/>
          <w:szCs w:val="20"/>
          <w:lang w:eastAsia="ar-SA"/>
        </w:rPr>
        <w:t>З</w:t>
      </w:r>
      <w:r w:rsidRPr="00A40515">
        <w:rPr>
          <w:rFonts w:eastAsia="Calibri"/>
          <w:b/>
          <w:iCs/>
          <w:sz w:val="20"/>
          <w:szCs w:val="20"/>
          <w:lang w:eastAsia="ar-SA"/>
        </w:rPr>
        <w:t xml:space="preserve">А </w:t>
      </w:r>
      <w:r w:rsidRPr="00343D48">
        <w:rPr>
          <w:rFonts w:eastAsia="Calibri"/>
          <w:b/>
          <w:iCs/>
          <w:sz w:val="20"/>
          <w:szCs w:val="20"/>
          <w:lang w:eastAsia="ar-SA"/>
        </w:rPr>
        <w:t xml:space="preserve">ОСЪЩЕСТВИМОСТ ИЗПОЛЗВАНЕТО НА </w:t>
      </w:r>
      <w:r w:rsidR="003C28EB" w:rsidRPr="003C28EB">
        <w:rPr>
          <w:rFonts w:eastAsia="Calibri"/>
          <w:b/>
          <w:iCs/>
          <w:sz w:val="20"/>
          <w:szCs w:val="20"/>
          <w:lang w:eastAsia="ar-SA"/>
        </w:rPr>
        <w:t xml:space="preserve">ХИДРОЕНЕРГИЙНИЯ ПОТЕНЦИАЛ </w:t>
      </w:r>
      <w:r w:rsidRPr="00343D48">
        <w:rPr>
          <w:rFonts w:eastAsia="Calibri"/>
          <w:b/>
          <w:iCs/>
          <w:sz w:val="20"/>
          <w:szCs w:val="20"/>
          <w:lang w:eastAsia="ar-SA"/>
        </w:rPr>
        <w:t xml:space="preserve">В СЪЩЕСТВУВАЩИТЕ СИСТЕМИ ЗА ВОДОСНАБДЯВАНЕ И ЗА ПОВИШАВАНЕ НА ПОТЕНЦИАЛА </w:t>
      </w:r>
      <w:r w:rsidR="00873B1F">
        <w:rPr>
          <w:rFonts w:eastAsia="Calibri"/>
          <w:b/>
          <w:iCs/>
          <w:sz w:val="20"/>
          <w:szCs w:val="20"/>
          <w:lang w:eastAsia="ar-SA"/>
        </w:rPr>
        <w:t>Н</w:t>
      </w:r>
      <w:r w:rsidRPr="00343D48">
        <w:rPr>
          <w:rFonts w:eastAsia="Calibri"/>
          <w:b/>
          <w:iCs/>
          <w:sz w:val="20"/>
          <w:szCs w:val="20"/>
          <w:lang w:eastAsia="ar-SA"/>
        </w:rPr>
        <w:t>А СЪЩЕСТВУВАЩИ МАЛКИ ВОДНОЕЛЕКТРИЧЕСКИ ЦЕНТРАЛИ ВЪВ ВОДОСНАБДИТЕЛНИТЕ СИСТЕМИ“</w:t>
      </w:r>
    </w:p>
    <w:p w:rsidR="00845356" w:rsidRPr="00343D48" w:rsidRDefault="00845356" w:rsidP="00D756F9">
      <w:pPr>
        <w:jc w:val="center"/>
        <w:rPr>
          <w:b/>
          <w:i/>
          <w:sz w:val="24"/>
          <w:szCs w:val="24"/>
        </w:rPr>
      </w:pPr>
    </w:p>
    <w:p w:rsidR="00DD4AC6" w:rsidRPr="007F5255" w:rsidRDefault="00D65C3A" w:rsidP="00DD4AC6">
      <w:pPr>
        <w:jc w:val="center"/>
        <w:rPr>
          <w:b/>
          <w:szCs w:val="18"/>
        </w:rPr>
      </w:pPr>
      <w:r>
        <w:rPr>
          <w:b/>
          <w:szCs w:val="18"/>
        </w:rPr>
        <w:t>Октомври</w:t>
      </w:r>
      <w:r w:rsidR="00323FE7" w:rsidRPr="007F5255">
        <w:rPr>
          <w:b/>
          <w:szCs w:val="18"/>
        </w:rPr>
        <w:t xml:space="preserve"> 2019</w:t>
      </w:r>
      <w:r w:rsidR="00D756F9" w:rsidRPr="007F5255">
        <w:rPr>
          <w:b/>
          <w:szCs w:val="18"/>
        </w:rPr>
        <w:t xml:space="preserve"> г.</w:t>
      </w:r>
    </w:p>
    <w:p w:rsidR="00323FE7" w:rsidRPr="007F5255" w:rsidRDefault="00323FE7" w:rsidP="00DD4AC6">
      <w:pPr>
        <w:jc w:val="center"/>
        <w:rPr>
          <w:b/>
          <w:szCs w:val="18"/>
        </w:rPr>
      </w:pPr>
    </w:p>
    <w:p w:rsidR="00323FE7" w:rsidRPr="007F5255" w:rsidRDefault="00323FE7" w:rsidP="00DD4AC6">
      <w:pPr>
        <w:jc w:val="center"/>
        <w:rPr>
          <w:b/>
          <w:szCs w:val="18"/>
        </w:rPr>
      </w:pPr>
    </w:p>
    <w:p w:rsidR="001B1D91" w:rsidRPr="007F5255" w:rsidRDefault="001B1D91" w:rsidP="00DD4AC6">
      <w:pPr>
        <w:jc w:val="center"/>
        <w:rPr>
          <w:b/>
          <w:szCs w:val="18"/>
        </w:rPr>
      </w:pPr>
    </w:p>
    <w:p w:rsidR="00323FE7" w:rsidRPr="00343D48" w:rsidRDefault="00323FE7" w:rsidP="00DD4AC6">
      <w:pPr>
        <w:jc w:val="center"/>
        <w:rPr>
          <w:b/>
          <w:szCs w:val="18"/>
          <w:u w:val="single"/>
        </w:rPr>
      </w:pPr>
    </w:p>
    <w:p w:rsidR="00323FE7" w:rsidRPr="007F5255" w:rsidRDefault="00323FE7" w:rsidP="00DD4AC6">
      <w:pPr>
        <w:jc w:val="center"/>
        <w:rPr>
          <w:b/>
          <w:szCs w:val="18"/>
        </w:rPr>
      </w:pPr>
    </w:p>
    <w:p w:rsidR="004A2F11" w:rsidRPr="007F5255" w:rsidRDefault="004A2F11" w:rsidP="00DD4AC6">
      <w:pPr>
        <w:jc w:val="center"/>
        <w:rPr>
          <w:b/>
          <w:szCs w:val="18"/>
        </w:rPr>
      </w:pPr>
    </w:p>
    <w:p w:rsidR="00A71892" w:rsidRPr="00EE7E37" w:rsidRDefault="00A71892" w:rsidP="00A71892">
      <w:pPr>
        <w:rPr>
          <w:b/>
          <w:sz w:val="20"/>
          <w:szCs w:val="18"/>
          <w:lang w:eastAsia="ar-SA"/>
        </w:rPr>
      </w:pPr>
      <w:r w:rsidRPr="00EE7E37">
        <w:rPr>
          <w:b/>
          <w:sz w:val="20"/>
          <w:szCs w:val="18"/>
          <w:lang w:eastAsia="ar-SA"/>
        </w:rPr>
        <w:t>Съдържание</w:t>
      </w:r>
    </w:p>
    <w:p w:rsidR="00466856" w:rsidRPr="00D33EF7" w:rsidRDefault="007C5463">
      <w:pPr>
        <w:pStyle w:val="TOC1"/>
        <w:tabs>
          <w:tab w:val="left" w:pos="660"/>
          <w:tab w:val="right" w:leader="dot" w:pos="9770"/>
        </w:tabs>
        <w:rPr>
          <w:rFonts w:ascii="Calibri" w:hAnsi="Calibri"/>
          <w:noProof/>
          <w:sz w:val="22"/>
        </w:rPr>
      </w:pPr>
      <w:r w:rsidRPr="007F5255">
        <w:rPr>
          <w:szCs w:val="18"/>
        </w:rPr>
        <w:fldChar w:fldCharType="begin"/>
      </w:r>
      <w:r w:rsidR="00FA5C25" w:rsidRPr="007F5255">
        <w:rPr>
          <w:szCs w:val="18"/>
        </w:rPr>
        <w:instrText xml:space="preserve"> TOC \o "1-3" \h \z \u </w:instrText>
      </w:r>
      <w:r w:rsidRPr="007F5255">
        <w:rPr>
          <w:szCs w:val="18"/>
        </w:rPr>
        <w:fldChar w:fldCharType="separate"/>
      </w:r>
      <w:hyperlink w:anchor="_Toc4745702" w:history="1">
        <w:r w:rsidR="00466856" w:rsidRPr="00205D48">
          <w:rPr>
            <w:rStyle w:val="Hyperlink"/>
            <w:noProof/>
          </w:rPr>
          <w:t>1.</w:t>
        </w:r>
        <w:r w:rsidR="00466856" w:rsidRPr="00D33EF7">
          <w:rPr>
            <w:rFonts w:ascii="Calibri" w:hAnsi="Calibri"/>
            <w:noProof/>
            <w:sz w:val="22"/>
          </w:rPr>
          <w:tab/>
        </w:r>
        <w:r w:rsidR="00466856" w:rsidRPr="00205D48">
          <w:rPr>
            <w:rStyle w:val="Hyperlink"/>
            <w:noProof/>
          </w:rPr>
          <w:t>ПРОГРАМА „ВЪЗОБНОВЯЕМА ЕНЕРГИЯ, ЕНЕРГИЙНА ЕФЕКТИВНОСТ, ЕНЕРГИЙНА СИГУРНОСТ”</w:t>
        </w:r>
        <w:r w:rsidR="00466856">
          <w:rPr>
            <w:noProof/>
            <w:webHidden/>
          </w:rPr>
          <w:tab/>
        </w:r>
        <w:r w:rsidR="00466856">
          <w:rPr>
            <w:noProof/>
            <w:webHidden/>
          </w:rPr>
          <w:fldChar w:fldCharType="begin"/>
        </w:r>
        <w:r w:rsidR="00466856">
          <w:rPr>
            <w:noProof/>
            <w:webHidden/>
          </w:rPr>
          <w:instrText xml:space="preserve"> PAGEREF _Toc4745702 \h </w:instrText>
        </w:r>
        <w:r w:rsidR="00466856">
          <w:rPr>
            <w:noProof/>
            <w:webHidden/>
          </w:rPr>
        </w:r>
        <w:r w:rsidR="00466856">
          <w:rPr>
            <w:noProof/>
            <w:webHidden/>
          </w:rPr>
          <w:fldChar w:fldCharType="separate"/>
        </w:r>
        <w:r w:rsidR="00305C12">
          <w:rPr>
            <w:noProof/>
            <w:webHidden/>
          </w:rPr>
          <w:t>4</w:t>
        </w:r>
        <w:r w:rsidR="00466856">
          <w:rPr>
            <w:noProof/>
            <w:webHidden/>
          </w:rPr>
          <w:fldChar w:fldCharType="end"/>
        </w:r>
      </w:hyperlink>
    </w:p>
    <w:p w:rsidR="00466856" w:rsidRPr="00D33EF7" w:rsidRDefault="00907DB4">
      <w:pPr>
        <w:pStyle w:val="TOC1"/>
        <w:tabs>
          <w:tab w:val="left" w:pos="660"/>
          <w:tab w:val="right" w:leader="dot" w:pos="9770"/>
        </w:tabs>
        <w:rPr>
          <w:rFonts w:ascii="Calibri" w:hAnsi="Calibri"/>
          <w:noProof/>
          <w:sz w:val="22"/>
        </w:rPr>
      </w:pPr>
      <w:hyperlink w:anchor="_Toc4745703" w:history="1">
        <w:r w:rsidR="00466856" w:rsidRPr="00205D48">
          <w:rPr>
            <w:rStyle w:val="Hyperlink"/>
            <w:noProof/>
          </w:rPr>
          <w:t>2.</w:t>
        </w:r>
        <w:r w:rsidR="00466856" w:rsidRPr="00D33EF7">
          <w:rPr>
            <w:rFonts w:ascii="Calibri" w:hAnsi="Calibri"/>
            <w:noProof/>
            <w:sz w:val="22"/>
          </w:rPr>
          <w:tab/>
        </w:r>
        <w:r w:rsidR="00466856" w:rsidRPr="00205D48">
          <w:rPr>
            <w:rStyle w:val="Hyperlink"/>
            <w:noProof/>
          </w:rPr>
          <w:t>ПРАВНА И ИНСТИТУЦИОНАЛНА РАМКА</w:t>
        </w:r>
        <w:r w:rsidR="00466856">
          <w:rPr>
            <w:noProof/>
            <w:webHidden/>
          </w:rPr>
          <w:tab/>
        </w:r>
        <w:r w:rsidR="00466856">
          <w:rPr>
            <w:noProof/>
            <w:webHidden/>
          </w:rPr>
          <w:fldChar w:fldCharType="begin"/>
        </w:r>
        <w:r w:rsidR="00466856">
          <w:rPr>
            <w:noProof/>
            <w:webHidden/>
          </w:rPr>
          <w:instrText xml:space="preserve"> PAGEREF _Toc4745703 \h </w:instrText>
        </w:r>
        <w:r w:rsidR="00466856">
          <w:rPr>
            <w:noProof/>
            <w:webHidden/>
          </w:rPr>
        </w:r>
        <w:r w:rsidR="00466856">
          <w:rPr>
            <w:noProof/>
            <w:webHidden/>
          </w:rPr>
          <w:fldChar w:fldCharType="separate"/>
        </w:r>
        <w:r w:rsidR="00305C12">
          <w:rPr>
            <w:noProof/>
            <w:webHidden/>
          </w:rPr>
          <w:t>4</w:t>
        </w:r>
        <w:r w:rsidR="00466856">
          <w:rPr>
            <w:noProof/>
            <w:webHidden/>
          </w:rPr>
          <w:fldChar w:fldCharType="end"/>
        </w:r>
      </w:hyperlink>
    </w:p>
    <w:p w:rsidR="00466856" w:rsidRPr="00D33EF7" w:rsidRDefault="00907DB4">
      <w:pPr>
        <w:pStyle w:val="TOC2"/>
        <w:tabs>
          <w:tab w:val="left" w:pos="880"/>
          <w:tab w:val="right" w:leader="dot" w:pos="9770"/>
        </w:tabs>
        <w:rPr>
          <w:rFonts w:ascii="Calibri" w:hAnsi="Calibri"/>
          <w:noProof/>
          <w:sz w:val="22"/>
        </w:rPr>
      </w:pPr>
      <w:hyperlink w:anchor="_Toc4745704" w:history="1">
        <w:r w:rsidR="00466856" w:rsidRPr="00205D48">
          <w:rPr>
            <w:rStyle w:val="Hyperlink"/>
            <w:noProof/>
          </w:rPr>
          <w:t>2.1.</w:t>
        </w:r>
        <w:r w:rsidR="00466856" w:rsidRPr="00D33EF7">
          <w:rPr>
            <w:rFonts w:ascii="Calibri" w:hAnsi="Calibri"/>
            <w:noProof/>
            <w:sz w:val="22"/>
          </w:rPr>
          <w:tab/>
        </w:r>
        <w:r w:rsidR="00466856" w:rsidRPr="00205D48">
          <w:rPr>
            <w:rStyle w:val="Hyperlink"/>
            <w:noProof/>
          </w:rPr>
          <w:t>ПРОГРАМНИ ДОКУМЕНТИ</w:t>
        </w:r>
        <w:r w:rsidR="00466856">
          <w:rPr>
            <w:noProof/>
            <w:webHidden/>
          </w:rPr>
          <w:tab/>
        </w:r>
        <w:r w:rsidR="00466856">
          <w:rPr>
            <w:noProof/>
            <w:webHidden/>
          </w:rPr>
          <w:fldChar w:fldCharType="begin"/>
        </w:r>
        <w:r w:rsidR="00466856">
          <w:rPr>
            <w:noProof/>
            <w:webHidden/>
          </w:rPr>
          <w:instrText xml:space="preserve"> PAGEREF _Toc4745704 \h </w:instrText>
        </w:r>
        <w:r w:rsidR="00466856">
          <w:rPr>
            <w:noProof/>
            <w:webHidden/>
          </w:rPr>
        </w:r>
        <w:r w:rsidR="00466856">
          <w:rPr>
            <w:noProof/>
            <w:webHidden/>
          </w:rPr>
          <w:fldChar w:fldCharType="separate"/>
        </w:r>
        <w:r w:rsidR="00305C12">
          <w:rPr>
            <w:noProof/>
            <w:webHidden/>
          </w:rPr>
          <w:t>4</w:t>
        </w:r>
        <w:r w:rsidR="00466856">
          <w:rPr>
            <w:noProof/>
            <w:webHidden/>
          </w:rPr>
          <w:fldChar w:fldCharType="end"/>
        </w:r>
      </w:hyperlink>
    </w:p>
    <w:p w:rsidR="00466856" w:rsidRPr="00D33EF7" w:rsidRDefault="00907DB4">
      <w:pPr>
        <w:pStyle w:val="TOC2"/>
        <w:tabs>
          <w:tab w:val="left" w:pos="880"/>
          <w:tab w:val="right" w:leader="dot" w:pos="9770"/>
        </w:tabs>
        <w:rPr>
          <w:rFonts w:ascii="Calibri" w:hAnsi="Calibri"/>
          <w:noProof/>
          <w:sz w:val="22"/>
        </w:rPr>
      </w:pPr>
      <w:hyperlink w:anchor="_Toc4745705" w:history="1">
        <w:r w:rsidR="00466856" w:rsidRPr="00205D48">
          <w:rPr>
            <w:rStyle w:val="Hyperlink"/>
            <w:noProof/>
          </w:rPr>
          <w:t>2.2.</w:t>
        </w:r>
        <w:r w:rsidR="00466856" w:rsidRPr="00D33EF7">
          <w:rPr>
            <w:rFonts w:ascii="Calibri" w:hAnsi="Calibri"/>
            <w:noProof/>
            <w:sz w:val="22"/>
          </w:rPr>
          <w:tab/>
        </w:r>
        <w:r w:rsidR="00466856" w:rsidRPr="00205D48">
          <w:rPr>
            <w:rStyle w:val="Hyperlink"/>
            <w:noProof/>
          </w:rPr>
          <w:t>ИНСТИТУЦИОНАЛНА РАМКА</w:t>
        </w:r>
        <w:r w:rsidR="00466856">
          <w:rPr>
            <w:noProof/>
            <w:webHidden/>
          </w:rPr>
          <w:tab/>
        </w:r>
        <w:r w:rsidR="00466856">
          <w:rPr>
            <w:noProof/>
            <w:webHidden/>
          </w:rPr>
          <w:fldChar w:fldCharType="begin"/>
        </w:r>
        <w:r w:rsidR="00466856">
          <w:rPr>
            <w:noProof/>
            <w:webHidden/>
          </w:rPr>
          <w:instrText xml:space="preserve"> PAGEREF _Toc4745705 \h </w:instrText>
        </w:r>
        <w:r w:rsidR="00466856">
          <w:rPr>
            <w:noProof/>
            <w:webHidden/>
          </w:rPr>
        </w:r>
        <w:r w:rsidR="00466856">
          <w:rPr>
            <w:noProof/>
            <w:webHidden/>
          </w:rPr>
          <w:fldChar w:fldCharType="separate"/>
        </w:r>
        <w:r w:rsidR="00305C12">
          <w:rPr>
            <w:noProof/>
            <w:webHidden/>
          </w:rPr>
          <w:t>6</w:t>
        </w:r>
        <w:r w:rsidR="00466856">
          <w:rPr>
            <w:noProof/>
            <w:webHidden/>
          </w:rPr>
          <w:fldChar w:fldCharType="end"/>
        </w:r>
      </w:hyperlink>
    </w:p>
    <w:p w:rsidR="00466856" w:rsidRPr="00D33EF7" w:rsidRDefault="00907DB4">
      <w:pPr>
        <w:pStyle w:val="TOC3"/>
        <w:tabs>
          <w:tab w:val="left" w:pos="1320"/>
          <w:tab w:val="right" w:leader="dot" w:pos="9770"/>
        </w:tabs>
        <w:rPr>
          <w:rFonts w:ascii="Calibri" w:hAnsi="Calibri"/>
          <w:noProof/>
          <w:sz w:val="22"/>
        </w:rPr>
      </w:pPr>
      <w:hyperlink w:anchor="_Toc4745706" w:history="1">
        <w:r w:rsidR="00466856" w:rsidRPr="00205D48">
          <w:rPr>
            <w:rStyle w:val="Hyperlink"/>
            <w:noProof/>
          </w:rPr>
          <w:t>2.2.1.</w:t>
        </w:r>
        <w:r w:rsidR="00466856" w:rsidRPr="00D33EF7">
          <w:rPr>
            <w:rFonts w:ascii="Calibri" w:hAnsi="Calibri"/>
            <w:noProof/>
            <w:sz w:val="22"/>
          </w:rPr>
          <w:tab/>
        </w:r>
        <w:r w:rsidR="00466856" w:rsidRPr="00205D48">
          <w:rPr>
            <w:rStyle w:val="Hyperlink"/>
            <w:noProof/>
          </w:rPr>
          <w:t>Институционална рамка на ниво страни-донори</w:t>
        </w:r>
        <w:r w:rsidR="00466856">
          <w:rPr>
            <w:noProof/>
            <w:webHidden/>
          </w:rPr>
          <w:tab/>
        </w:r>
        <w:r w:rsidR="00466856">
          <w:rPr>
            <w:noProof/>
            <w:webHidden/>
          </w:rPr>
          <w:fldChar w:fldCharType="begin"/>
        </w:r>
        <w:r w:rsidR="00466856">
          <w:rPr>
            <w:noProof/>
            <w:webHidden/>
          </w:rPr>
          <w:instrText xml:space="preserve"> PAGEREF _Toc4745706 \h </w:instrText>
        </w:r>
        <w:r w:rsidR="00466856">
          <w:rPr>
            <w:noProof/>
            <w:webHidden/>
          </w:rPr>
        </w:r>
        <w:r w:rsidR="00466856">
          <w:rPr>
            <w:noProof/>
            <w:webHidden/>
          </w:rPr>
          <w:fldChar w:fldCharType="separate"/>
        </w:r>
        <w:r w:rsidR="00305C12">
          <w:rPr>
            <w:noProof/>
            <w:webHidden/>
          </w:rPr>
          <w:t>6</w:t>
        </w:r>
        <w:r w:rsidR="00466856">
          <w:rPr>
            <w:noProof/>
            <w:webHidden/>
          </w:rPr>
          <w:fldChar w:fldCharType="end"/>
        </w:r>
      </w:hyperlink>
    </w:p>
    <w:p w:rsidR="00466856" w:rsidRPr="00D33EF7" w:rsidRDefault="00907DB4">
      <w:pPr>
        <w:pStyle w:val="TOC3"/>
        <w:tabs>
          <w:tab w:val="left" w:pos="1320"/>
          <w:tab w:val="right" w:leader="dot" w:pos="9770"/>
        </w:tabs>
        <w:rPr>
          <w:rFonts w:ascii="Calibri" w:hAnsi="Calibri"/>
          <w:noProof/>
          <w:sz w:val="22"/>
        </w:rPr>
      </w:pPr>
      <w:hyperlink w:anchor="_Toc4745707" w:history="1">
        <w:r w:rsidR="00466856" w:rsidRPr="00205D48">
          <w:rPr>
            <w:rStyle w:val="Hyperlink"/>
            <w:noProof/>
          </w:rPr>
          <w:t>2.2.2.</w:t>
        </w:r>
        <w:r w:rsidR="00466856" w:rsidRPr="00D33EF7">
          <w:rPr>
            <w:rFonts w:ascii="Calibri" w:hAnsi="Calibri"/>
            <w:noProof/>
            <w:sz w:val="22"/>
          </w:rPr>
          <w:tab/>
        </w:r>
        <w:r w:rsidR="00466856" w:rsidRPr="00205D48">
          <w:rPr>
            <w:rStyle w:val="Hyperlink"/>
            <w:noProof/>
          </w:rPr>
          <w:t>Институционална рамка на управление на Финансовия механизъм на Европейското икономическо пространство 2014-2021 на национално ниво</w:t>
        </w:r>
        <w:r w:rsidR="00466856">
          <w:rPr>
            <w:noProof/>
            <w:webHidden/>
          </w:rPr>
          <w:tab/>
        </w:r>
        <w:r w:rsidR="00466856">
          <w:rPr>
            <w:noProof/>
            <w:webHidden/>
          </w:rPr>
          <w:fldChar w:fldCharType="begin"/>
        </w:r>
        <w:r w:rsidR="00466856">
          <w:rPr>
            <w:noProof/>
            <w:webHidden/>
          </w:rPr>
          <w:instrText xml:space="preserve"> PAGEREF _Toc4745707 \h </w:instrText>
        </w:r>
        <w:r w:rsidR="00466856">
          <w:rPr>
            <w:noProof/>
            <w:webHidden/>
          </w:rPr>
        </w:r>
        <w:r w:rsidR="00466856">
          <w:rPr>
            <w:noProof/>
            <w:webHidden/>
          </w:rPr>
          <w:fldChar w:fldCharType="separate"/>
        </w:r>
        <w:r w:rsidR="00305C12">
          <w:rPr>
            <w:noProof/>
            <w:webHidden/>
          </w:rPr>
          <w:t>6</w:t>
        </w:r>
        <w:r w:rsidR="00466856">
          <w:rPr>
            <w:noProof/>
            <w:webHidden/>
          </w:rPr>
          <w:fldChar w:fldCharType="end"/>
        </w:r>
      </w:hyperlink>
    </w:p>
    <w:p w:rsidR="00466856" w:rsidRPr="00D33EF7" w:rsidRDefault="00907DB4">
      <w:pPr>
        <w:pStyle w:val="TOC1"/>
        <w:tabs>
          <w:tab w:val="left" w:pos="660"/>
          <w:tab w:val="right" w:leader="dot" w:pos="9770"/>
        </w:tabs>
        <w:rPr>
          <w:rFonts w:ascii="Calibri" w:hAnsi="Calibri"/>
          <w:noProof/>
          <w:sz w:val="22"/>
        </w:rPr>
      </w:pPr>
      <w:hyperlink w:anchor="_Toc4745708" w:history="1">
        <w:r w:rsidR="00466856" w:rsidRPr="00205D48">
          <w:rPr>
            <w:rStyle w:val="Hyperlink"/>
            <w:noProof/>
          </w:rPr>
          <w:t>3.</w:t>
        </w:r>
        <w:r w:rsidR="00466856" w:rsidRPr="00D33EF7">
          <w:rPr>
            <w:rFonts w:ascii="Calibri" w:hAnsi="Calibri"/>
            <w:noProof/>
            <w:sz w:val="22"/>
          </w:rPr>
          <w:tab/>
        </w:r>
        <w:r w:rsidR="00466856" w:rsidRPr="00205D48">
          <w:rPr>
            <w:rStyle w:val="Hyperlink"/>
            <w:noProof/>
          </w:rPr>
          <w:t>ПРОЦЕДУРА ЗА ПРЕДОСТАВЯНЕ НА БЕЗВЪЗМЕЗДНИ ФИНАНСОВИ СРЕДСТВА</w:t>
        </w:r>
        <w:r w:rsidR="00466856">
          <w:rPr>
            <w:noProof/>
            <w:webHidden/>
          </w:rPr>
          <w:tab/>
        </w:r>
        <w:r w:rsidR="00466856">
          <w:rPr>
            <w:noProof/>
            <w:webHidden/>
          </w:rPr>
          <w:fldChar w:fldCharType="begin"/>
        </w:r>
        <w:r w:rsidR="00466856">
          <w:rPr>
            <w:noProof/>
            <w:webHidden/>
          </w:rPr>
          <w:instrText xml:space="preserve"> PAGEREF _Toc4745708 \h </w:instrText>
        </w:r>
        <w:r w:rsidR="00466856">
          <w:rPr>
            <w:noProof/>
            <w:webHidden/>
          </w:rPr>
        </w:r>
        <w:r w:rsidR="00466856">
          <w:rPr>
            <w:noProof/>
            <w:webHidden/>
          </w:rPr>
          <w:fldChar w:fldCharType="separate"/>
        </w:r>
        <w:r w:rsidR="00305C12">
          <w:rPr>
            <w:noProof/>
            <w:webHidden/>
          </w:rPr>
          <w:t>7</w:t>
        </w:r>
        <w:r w:rsidR="00466856">
          <w:rPr>
            <w:noProof/>
            <w:webHidden/>
          </w:rPr>
          <w:fldChar w:fldCharType="end"/>
        </w:r>
      </w:hyperlink>
    </w:p>
    <w:p w:rsidR="00466856" w:rsidRPr="00D33EF7" w:rsidRDefault="00907DB4">
      <w:pPr>
        <w:pStyle w:val="TOC2"/>
        <w:tabs>
          <w:tab w:val="left" w:pos="880"/>
          <w:tab w:val="right" w:leader="dot" w:pos="9770"/>
        </w:tabs>
        <w:rPr>
          <w:rFonts w:ascii="Calibri" w:hAnsi="Calibri"/>
          <w:noProof/>
          <w:sz w:val="22"/>
        </w:rPr>
      </w:pPr>
      <w:hyperlink w:anchor="_Toc4745709" w:history="1">
        <w:r w:rsidR="00466856" w:rsidRPr="00205D48">
          <w:rPr>
            <w:rStyle w:val="Hyperlink"/>
            <w:noProof/>
          </w:rPr>
          <w:t>3.1.</w:t>
        </w:r>
        <w:r w:rsidR="00466856" w:rsidRPr="00D33EF7">
          <w:rPr>
            <w:rFonts w:ascii="Calibri" w:hAnsi="Calibri"/>
            <w:noProof/>
            <w:sz w:val="22"/>
          </w:rPr>
          <w:tab/>
        </w:r>
        <w:r w:rsidR="00466856" w:rsidRPr="00205D48">
          <w:rPr>
            <w:rStyle w:val="Hyperlink"/>
            <w:noProof/>
          </w:rPr>
          <w:t>ИНДИКАТОРИ И СПЕЦИФИЧНИ ЦЕЛИ НА ПРЕДВАРИТЕЛНО ДЕФИНИРАНИЯ ПРОЕКТ</w:t>
        </w:r>
        <w:r w:rsidR="00466856">
          <w:rPr>
            <w:noProof/>
            <w:webHidden/>
          </w:rPr>
          <w:tab/>
        </w:r>
        <w:r w:rsidR="00466856">
          <w:rPr>
            <w:noProof/>
            <w:webHidden/>
          </w:rPr>
          <w:fldChar w:fldCharType="begin"/>
        </w:r>
        <w:r w:rsidR="00466856">
          <w:rPr>
            <w:noProof/>
            <w:webHidden/>
          </w:rPr>
          <w:instrText xml:space="preserve"> PAGEREF _Toc4745709 \h </w:instrText>
        </w:r>
        <w:r w:rsidR="00466856">
          <w:rPr>
            <w:noProof/>
            <w:webHidden/>
          </w:rPr>
        </w:r>
        <w:r w:rsidR="00466856">
          <w:rPr>
            <w:noProof/>
            <w:webHidden/>
          </w:rPr>
          <w:fldChar w:fldCharType="separate"/>
        </w:r>
        <w:r w:rsidR="00305C12">
          <w:rPr>
            <w:noProof/>
            <w:webHidden/>
          </w:rPr>
          <w:t>8</w:t>
        </w:r>
        <w:r w:rsidR="00466856">
          <w:rPr>
            <w:noProof/>
            <w:webHidden/>
          </w:rPr>
          <w:fldChar w:fldCharType="end"/>
        </w:r>
      </w:hyperlink>
    </w:p>
    <w:p w:rsidR="00466856" w:rsidRPr="00D33EF7" w:rsidRDefault="00907DB4">
      <w:pPr>
        <w:pStyle w:val="TOC1"/>
        <w:tabs>
          <w:tab w:val="left" w:pos="660"/>
          <w:tab w:val="right" w:leader="dot" w:pos="9770"/>
        </w:tabs>
        <w:rPr>
          <w:rFonts w:ascii="Calibri" w:hAnsi="Calibri"/>
          <w:noProof/>
          <w:sz w:val="22"/>
        </w:rPr>
      </w:pPr>
      <w:hyperlink w:anchor="_Toc4745710" w:history="1">
        <w:r w:rsidR="00466856" w:rsidRPr="00205D48">
          <w:rPr>
            <w:rStyle w:val="Hyperlink"/>
            <w:noProof/>
          </w:rPr>
          <w:t>4.</w:t>
        </w:r>
        <w:r w:rsidR="00466856" w:rsidRPr="00D33EF7">
          <w:rPr>
            <w:rFonts w:ascii="Calibri" w:hAnsi="Calibri"/>
            <w:noProof/>
            <w:sz w:val="22"/>
          </w:rPr>
          <w:tab/>
        </w:r>
        <w:r w:rsidR="00466856" w:rsidRPr="00205D48">
          <w:rPr>
            <w:rStyle w:val="Hyperlink"/>
            <w:noProof/>
          </w:rPr>
          <w:t>ОБЩИ И ХОРИЗОНТАЛНИ ПРИНЦИПИ</w:t>
        </w:r>
        <w:r w:rsidR="00466856">
          <w:rPr>
            <w:noProof/>
            <w:webHidden/>
          </w:rPr>
          <w:tab/>
        </w:r>
        <w:r w:rsidR="00466856">
          <w:rPr>
            <w:noProof/>
            <w:webHidden/>
          </w:rPr>
          <w:fldChar w:fldCharType="begin"/>
        </w:r>
        <w:r w:rsidR="00466856">
          <w:rPr>
            <w:noProof/>
            <w:webHidden/>
          </w:rPr>
          <w:instrText xml:space="preserve"> PAGEREF _Toc4745710 \h </w:instrText>
        </w:r>
        <w:r w:rsidR="00466856">
          <w:rPr>
            <w:noProof/>
            <w:webHidden/>
          </w:rPr>
        </w:r>
        <w:r w:rsidR="00466856">
          <w:rPr>
            <w:noProof/>
            <w:webHidden/>
          </w:rPr>
          <w:fldChar w:fldCharType="separate"/>
        </w:r>
        <w:r w:rsidR="00305C12">
          <w:rPr>
            <w:noProof/>
            <w:webHidden/>
          </w:rPr>
          <w:t>8</w:t>
        </w:r>
        <w:r w:rsidR="00466856">
          <w:rPr>
            <w:noProof/>
            <w:webHidden/>
          </w:rPr>
          <w:fldChar w:fldCharType="end"/>
        </w:r>
      </w:hyperlink>
    </w:p>
    <w:p w:rsidR="00466856" w:rsidRPr="00D33EF7" w:rsidRDefault="00907DB4">
      <w:pPr>
        <w:pStyle w:val="TOC1"/>
        <w:tabs>
          <w:tab w:val="left" w:pos="660"/>
          <w:tab w:val="right" w:leader="dot" w:pos="9770"/>
        </w:tabs>
        <w:rPr>
          <w:rFonts w:ascii="Calibri" w:hAnsi="Calibri"/>
          <w:noProof/>
          <w:sz w:val="22"/>
        </w:rPr>
      </w:pPr>
      <w:hyperlink w:anchor="_Toc4745711" w:history="1">
        <w:r w:rsidR="00466856" w:rsidRPr="00205D48">
          <w:rPr>
            <w:rStyle w:val="Hyperlink"/>
            <w:noProof/>
          </w:rPr>
          <w:t>5.</w:t>
        </w:r>
        <w:r w:rsidR="00466856" w:rsidRPr="00D33EF7">
          <w:rPr>
            <w:rFonts w:ascii="Calibri" w:hAnsi="Calibri"/>
            <w:noProof/>
            <w:sz w:val="22"/>
          </w:rPr>
          <w:tab/>
        </w:r>
        <w:r w:rsidR="00466856" w:rsidRPr="00205D48">
          <w:rPr>
            <w:rStyle w:val="Hyperlink"/>
            <w:noProof/>
          </w:rPr>
          <w:t>РАЗМЕР НА БЕЗВЪЗМЕЗДНАТА ПОМОЩ</w:t>
        </w:r>
        <w:r w:rsidR="00466856">
          <w:rPr>
            <w:noProof/>
            <w:webHidden/>
          </w:rPr>
          <w:tab/>
        </w:r>
        <w:r w:rsidR="00466856">
          <w:rPr>
            <w:noProof/>
            <w:webHidden/>
          </w:rPr>
          <w:fldChar w:fldCharType="begin"/>
        </w:r>
        <w:r w:rsidR="00466856">
          <w:rPr>
            <w:noProof/>
            <w:webHidden/>
          </w:rPr>
          <w:instrText xml:space="preserve"> PAGEREF _Toc4745711 \h </w:instrText>
        </w:r>
        <w:r w:rsidR="00466856">
          <w:rPr>
            <w:noProof/>
            <w:webHidden/>
          </w:rPr>
        </w:r>
        <w:r w:rsidR="00466856">
          <w:rPr>
            <w:noProof/>
            <w:webHidden/>
          </w:rPr>
          <w:fldChar w:fldCharType="separate"/>
        </w:r>
        <w:r w:rsidR="00305C12">
          <w:rPr>
            <w:noProof/>
            <w:webHidden/>
          </w:rPr>
          <w:t>9</w:t>
        </w:r>
        <w:r w:rsidR="00466856">
          <w:rPr>
            <w:noProof/>
            <w:webHidden/>
          </w:rPr>
          <w:fldChar w:fldCharType="end"/>
        </w:r>
      </w:hyperlink>
    </w:p>
    <w:p w:rsidR="00466856" w:rsidRPr="00D33EF7" w:rsidRDefault="00907DB4">
      <w:pPr>
        <w:pStyle w:val="TOC1"/>
        <w:tabs>
          <w:tab w:val="left" w:pos="660"/>
          <w:tab w:val="right" w:leader="dot" w:pos="9770"/>
        </w:tabs>
        <w:rPr>
          <w:rFonts w:ascii="Calibri" w:hAnsi="Calibri"/>
          <w:noProof/>
          <w:sz w:val="22"/>
        </w:rPr>
      </w:pPr>
      <w:hyperlink w:anchor="_Toc4745712" w:history="1">
        <w:r w:rsidR="00466856" w:rsidRPr="00205D48">
          <w:rPr>
            <w:rStyle w:val="Hyperlink"/>
            <w:noProof/>
          </w:rPr>
          <w:t>6.</w:t>
        </w:r>
        <w:r w:rsidR="00466856" w:rsidRPr="00D33EF7">
          <w:rPr>
            <w:rFonts w:ascii="Calibri" w:hAnsi="Calibri"/>
            <w:noProof/>
            <w:sz w:val="22"/>
          </w:rPr>
          <w:tab/>
        </w:r>
        <w:r w:rsidR="00466856" w:rsidRPr="00205D48">
          <w:rPr>
            <w:rStyle w:val="Hyperlink"/>
            <w:noProof/>
          </w:rPr>
          <w:t>ДОПУСТИМ КАНДИДАТ</w:t>
        </w:r>
        <w:r w:rsidR="00466856">
          <w:rPr>
            <w:noProof/>
            <w:webHidden/>
          </w:rPr>
          <w:tab/>
        </w:r>
        <w:r w:rsidR="00466856">
          <w:rPr>
            <w:noProof/>
            <w:webHidden/>
          </w:rPr>
          <w:fldChar w:fldCharType="begin"/>
        </w:r>
        <w:r w:rsidR="00466856">
          <w:rPr>
            <w:noProof/>
            <w:webHidden/>
          </w:rPr>
          <w:instrText xml:space="preserve"> PAGEREF _Toc4745712 \h </w:instrText>
        </w:r>
        <w:r w:rsidR="00466856">
          <w:rPr>
            <w:noProof/>
            <w:webHidden/>
          </w:rPr>
        </w:r>
        <w:r w:rsidR="00466856">
          <w:rPr>
            <w:noProof/>
            <w:webHidden/>
          </w:rPr>
          <w:fldChar w:fldCharType="separate"/>
        </w:r>
        <w:r w:rsidR="00305C12">
          <w:rPr>
            <w:noProof/>
            <w:webHidden/>
          </w:rPr>
          <w:t>9</w:t>
        </w:r>
        <w:r w:rsidR="00466856">
          <w:rPr>
            <w:noProof/>
            <w:webHidden/>
          </w:rPr>
          <w:fldChar w:fldCharType="end"/>
        </w:r>
      </w:hyperlink>
    </w:p>
    <w:p w:rsidR="00466856" w:rsidRPr="00D33EF7" w:rsidRDefault="00907DB4">
      <w:pPr>
        <w:pStyle w:val="TOC1"/>
        <w:tabs>
          <w:tab w:val="left" w:pos="660"/>
          <w:tab w:val="right" w:leader="dot" w:pos="9770"/>
        </w:tabs>
        <w:rPr>
          <w:rFonts w:ascii="Calibri" w:hAnsi="Calibri"/>
          <w:noProof/>
          <w:sz w:val="22"/>
        </w:rPr>
      </w:pPr>
      <w:hyperlink w:anchor="_Toc4745713" w:history="1">
        <w:r w:rsidR="00466856" w:rsidRPr="00205D48">
          <w:rPr>
            <w:rStyle w:val="Hyperlink"/>
            <w:noProof/>
          </w:rPr>
          <w:t>7.</w:t>
        </w:r>
        <w:r w:rsidR="00466856" w:rsidRPr="00D33EF7">
          <w:rPr>
            <w:rFonts w:ascii="Calibri" w:hAnsi="Calibri"/>
            <w:noProof/>
            <w:sz w:val="22"/>
          </w:rPr>
          <w:tab/>
        </w:r>
        <w:r w:rsidR="00466856" w:rsidRPr="00205D48">
          <w:rPr>
            <w:rStyle w:val="Hyperlink"/>
            <w:noProof/>
          </w:rPr>
          <w:t>ДОПУСТИМ ПАРТНЬОР</w:t>
        </w:r>
        <w:r w:rsidR="00466856">
          <w:rPr>
            <w:noProof/>
            <w:webHidden/>
          </w:rPr>
          <w:tab/>
        </w:r>
        <w:r w:rsidR="00466856">
          <w:rPr>
            <w:noProof/>
            <w:webHidden/>
          </w:rPr>
          <w:fldChar w:fldCharType="begin"/>
        </w:r>
        <w:r w:rsidR="00466856">
          <w:rPr>
            <w:noProof/>
            <w:webHidden/>
          </w:rPr>
          <w:instrText xml:space="preserve"> PAGEREF _Toc4745713 \h </w:instrText>
        </w:r>
        <w:r w:rsidR="00466856">
          <w:rPr>
            <w:noProof/>
            <w:webHidden/>
          </w:rPr>
        </w:r>
        <w:r w:rsidR="00466856">
          <w:rPr>
            <w:noProof/>
            <w:webHidden/>
          </w:rPr>
          <w:fldChar w:fldCharType="separate"/>
        </w:r>
        <w:r w:rsidR="00305C12">
          <w:rPr>
            <w:noProof/>
            <w:webHidden/>
          </w:rPr>
          <w:t>10</w:t>
        </w:r>
        <w:r w:rsidR="00466856">
          <w:rPr>
            <w:noProof/>
            <w:webHidden/>
          </w:rPr>
          <w:fldChar w:fldCharType="end"/>
        </w:r>
      </w:hyperlink>
    </w:p>
    <w:p w:rsidR="00466856" w:rsidRPr="00D33EF7" w:rsidRDefault="00907DB4">
      <w:pPr>
        <w:pStyle w:val="TOC1"/>
        <w:tabs>
          <w:tab w:val="left" w:pos="660"/>
          <w:tab w:val="right" w:leader="dot" w:pos="9770"/>
        </w:tabs>
        <w:rPr>
          <w:rFonts w:ascii="Calibri" w:hAnsi="Calibri"/>
          <w:noProof/>
          <w:sz w:val="22"/>
        </w:rPr>
      </w:pPr>
      <w:hyperlink w:anchor="_Toc4745714" w:history="1">
        <w:r w:rsidR="00466856" w:rsidRPr="00205D48">
          <w:rPr>
            <w:rStyle w:val="Hyperlink"/>
            <w:noProof/>
          </w:rPr>
          <w:t>8.</w:t>
        </w:r>
        <w:r w:rsidR="00466856" w:rsidRPr="00D33EF7">
          <w:rPr>
            <w:rFonts w:ascii="Calibri" w:hAnsi="Calibri"/>
            <w:noProof/>
            <w:sz w:val="22"/>
          </w:rPr>
          <w:tab/>
        </w:r>
        <w:r w:rsidR="00466856" w:rsidRPr="00205D48">
          <w:rPr>
            <w:rStyle w:val="Hyperlink"/>
            <w:noProof/>
          </w:rPr>
          <w:t>ТЕРИТОРИАЛЕН ОБХВАТ И МЯСТО НА ИЗПЪЛНЕНИЕ</w:t>
        </w:r>
        <w:r w:rsidR="00466856">
          <w:rPr>
            <w:noProof/>
            <w:webHidden/>
          </w:rPr>
          <w:tab/>
        </w:r>
        <w:r w:rsidR="00466856">
          <w:rPr>
            <w:noProof/>
            <w:webHidden/>
          </w:rPr>
          <w:fldChar w:fldCharType="begin"/>
        </w:r>
        <w:r w:rsidR="00466856">
          <w:rPr>
            <w:noProof/>
            <w:webHidden/>
          </w:rPr>
          <w:instrText xml:space="preserve"> PAGEREF _Toc4745714 \h </w:instrText>
        </w:r>
        <w:r w:rsidR="00466856">
          <w:rPr>
            <w:noProof/>
            <w:webHidden/>
          </w:rPr>
        </w:r>
        <w:r w:rsidR="00466856">
          <w:rPr>
            <w:noProof/>
            <w:webHidden/>
          </w:rPr>
          <w:fldChar w:fldCharType="separate"/>
        </w:r>
        <w:r w:rsidR="00305C12">
          <w:rPr>
            <w:noProof/>
            <w:webHidden/>
          </w:rPr>
          <w:t>10</w:t>
        </w:r>
        <w:r w:rsidR="00466856">
          <w:rPr>
            <w:noProof/>
            <w:webHidden/>
          </w:rPr>
          <w:fldChar w:fldCharType="end"/>
        </w:r>
      </w:hyperlink>
    </w:p>
    <w:p w:rsidR="00466856" w:rsidRPr="00D33EF7" w:rsidRDefault="00907DB4">
      <w:pPr>
        <w:pStyle w:val="TOC1"/>
        <w:tabs>
          <w:tab w:val="left" w:pos="660"/>
          <w:tab w:val="right" w:leader="dot" w:pos="9770"/>
        </w:tabs>
        <w:rPr>
          <w:rFonts w:ascii="Calibri" w:hAnsi="Calibri"/>
          <w:noProof/>
          <w:sz w:val="22"/>
        </w:rPr>
      </w:pPr>
      <w:hyperlink w:anchor="_Toc4745715" w:history="1">
        <w:r w:rsidR="00466856" w:rsidRPr="00205D48">
          <w:rPr>
            <w:rStyle w:val="Hyperlink"/>
            <w:noProof/>
          </w:rPr>
          <w:t>9.</w:t>
        </w:r>
        <w:r w:rsidR="00466856" w:rsidRPr="00D33EF7">
          <w:rPr>
            <w:rFonts w:ascii="Calibri" w:hAnsi="Calibri"/>
            <w:noProof/>
            <w:sz w:val="22"/>
          </w:rPr>
          <w:tab/>
        </w:r>
        <w:r w:rsidR="00466856" w:rsidRPr="00205D48">
          <w:rPr>
            <w:rStyle w:val="Hyperlink"/>
            <w:noProof/>
          </w:rPr>
          <w:t>ДЕЙНОСТИ, ДОПУСТИМИ ЗА ФИНАНСИРАНЕ</w:t>
        </w:r>
        <w:r w:rsidR="00466856">
          <w:rPr>
            <w:noProof/>
            <w:webHidden/>
          </w:rPr>
          <w:tab/>
        </w:r>
        <w:r w:rsidR="00466856">
          <w:rPr>
            <w:noProof/>
            <w:webHidden/>
          </w:rPr>
          <w:fldChar w:fldCharType="begin"/>
        </w:r>
        <w:r w:rsidR="00466856">
          <w:rPr>
            <w:noProof/>
            <w:webHidden/>
          </w:rPr>
          <w:instrText xml:space="preserve"> PAGEREF _Toc4745715 \h </w:instrText>
        </w:r>
        <w:r w:rsidR="00466856">
          <w:rPr>
            <w:noProof/>
            <w:webHidden/>
          </w:rPr>
        </w:r>
        <w:r w:rsidR="00466856">
          <w:rPr>
            <w:noProof/>
            <w:webHidden/>
          </w:rPr>
          <w:fldChar w:fldCharType="separate"/>
        </w:r>
        <w:r w:rsidR="00305C12">
          <w:rPr>
            <w:noProof/>
            <w:webHidden/>
          </w:rPr>
          <w:t>10</w:t>
        </w:r>
        <w:r w:rsidR="00466856">
          <w:rPr>
            <w:noProof/>
            <w:webHidden/>
          </w:rPr>
          <w:fldChar w:fldCharType="end"/>
        </w:r>
      </w:hyperlink>
    </w:p>
    <w:p w:rsidR="00466856" w:rsidRPr="00D33EF7" w:rsidRDefault="00907DB4">
      <w:pPr>
        <w:pStyle w:val="TOC2"/>
        <w:tabs>
          <w:tab w:val="left" w:pos="880"/>
          <w:tab w:val="right" w:leader="dot" w:pos="9770"/>
        </w:tabs>
        <w:rPr>
          <w:rFonts w:ascii="Calibri" w:hAnsi="Calibri"/>
          <w:noProof/>
          <w:sz w:val="22"/>
        </w:rPr>
      </w:pPr>
      <w:hyperlink w:anchor="_Toc4745716" w:history="1">
        <w:r w:rsidR="00466856" w:rsidRPr="00205D48">
          <w:rPr>
            <w:rStyle w:val="Hyperlink"/>
            <w:noProof/>
          </w:rPr>
          <w:t>9.1.</w:t>
        </w:r>
        <w:r w:rsidR="00466856" w:rsidRPr="00D33EF7">
          <w:rPr>
            <w:rFonts w:ascii="Calibri" w:hAnsi="Calibri"/>
            <w:noProof/>
            <w:sz w:val="22"/>
          </w:rPr>
          <w:tab/>
        </w:r>
        <w:r w:rsidR="00466856" w:rsidRPr="00205D48">
          <w:rPr>
            <w:rStyle w:val="Hyperlink"/>
            <w:noProof/>
          </w:rPr>
          <w:t>ДОПУСТИМИ ДЕЙНОСТИ</w:t>
        </w:r>
        <w:r w:rsidR="00466856">
          <w:rPr>
            <w:noProof/>
            <w:webHidden/>
          </w:rPr>
          <w:tab/>
        </w:r>
        <w:r w:rsidR="00466856">
          <w:rPr>
            <w:noProof/>
            <w:webHidden/>
          </w:rPr>
          <w:fldChar w:fldCharType="begin"/>
        </w:r>
        <w:r w:rsidR="00466856">
          <w:rPr>
            <w:noProof/>
            <w:webHidden/>
          </w:rPr>
          <w:instrText xml:space="preserve"> PAGEREF _Toc4745716 \h </w:instrText>
        </w:r>
        <w:r w:rsidR="00466856">
          <w:rPr>
            <w:noProof/>
            <w:webHidden/>
          </w:rPr>
        </w:r>
        <w:r w:rsidR="00466856">
          <w:rPr>
            <w:noProof/>
            <w:webHidden/>
          </w:rPr>
          <w:fldChar w:fldCharType="separate"/>
        </w:r>
        <w:r w:rsidR="00305C12">
          <w:rPr>
            <w:noProof/>
            <w:webHidden/>
          </w:rPr>
          <w:t>10</w:t>
        </w:r>
        <w:r w:rsidR="00466856">
          <w:rPr>
            <w:noProof/>
            <w:webHidden/>
          </w:rPr>
          <w:fldChar w:fldCharType="end"/>
        </w:r>
      </w:hyperlink>
    </w:p>
    <w:p w:rsidR="00466856" w:rsidRPr="00D33EF7" w:rsidRDefault="00907DB4">
      <w:pPr>
        <w:pStyle w:val="TOC2"/>
        <w:tabs>
          <w:tab w:val="left" w:pos="880"/>
          <w:tab w:val="right" w:leader="dot" w:pos="9770"/>
        </w:tabs>
        <w:rPr>
          <w:rFonts w:ascii="Calibri" w:hAnsi="Calibri"/>
          <w:noProof/>
          <w:sz w:val="22"/>
        </w:rPr>
      </w:pPr>
      <w:hyperlink w:anchor="_Toc4745717" w:history="1">
        <w:r w:rsidR="00466856" w:rsidRPr="00205D48">
          <w:rPr>
            <w:rStyle w:val="Hyperlink"/>
            <w:noProof/>
          </w:rPr>
          <w:t>9.2.</w:t>
        </w:r>
        <w:r w:rsidR="00466856" w:rsidRPr="00D33EF7">
          <w:rPr>
            <w:rFonts w:ascii="Calibri" w:hAnsi="Calibri"/>
            <w:noProof/>
            <w:sz w:val="22"/>
          </w:rPr>
          <w:tab/>
        </w:r>
        <w:r w:rsidR="00466856" w:rsidRPr="00205D48">
          <w:rPr>
            <w:rStyle w:val="Hyperlink"/>
            <w:noProof/>
          </w:rPr>
          <w:t>СПЕЦИФИЧНИ ДОПУСТИМИ ДЕЙНОСТИ</w:t>
        </w:r>
        <w:r w:rsidR="00466856">
          <w:rPr>
            <w:noProof/>
            <w:webHidden/>
          </w:rPr>
          <w:tab/>
        </w:r>
        <w:r w:rsidR="00466856">
          <w:rPr>
            <w:noProof/>
            <w:webHidden/>
          </w:rPr>
          <w:fldChar w:fldCharType="begin"/>
        </w:r>
        <w:r w:rsidR="00466856">
          <w:rPr>
            <w:noProof/>
            <w:webHidden/>
          </w:rPr>
          <w:instrText xml:space="preserve"> PAGEREF _Toc4745717 \h </w:instrText>
        </w:r>
        <w:r w:rsidR="00466856">
          <w:rPr>
            <w:noProof/>
            <w:webHidden/>
          </w:rPr>
        </w:r>
        <w:r w:rsidR="00466856">
          <w:rPr>
            <w:noProof/>
            <w:webHidden/>
          </w:rPr>
          <w:fldChar w:fldCharType="separate"/>
        </w:r>
        <w:r w:rsidR="00305C12">
          <w:rPr>
            <w:noProof/>
            <w:webHidden/>
          </w:rPr>
          <w:t>10</w:t>
        </w:r>
        <w:r w:rsidR="00466856">
          <w:rPr>
            <w:noProof/>
            <w:webHidden/>
          </w:rPr>
          <w:fldChar w:fldCharType="end"/>
        </w:r>
      </w:hyperlink>
    </w:p>
    <w:p w:rsidR="00466856" w:rsidRPr="00D33EF7" w:rsidRDefault="00907DB4">
      <w:pPr>
        <w:pStyle w:val="TOC2"/>
        <w:tabs>
          <w:tab w:val="left" w:pos="880"/>
          <w:tab w:val="right" w:leader="dot" w:pos="9770"/>
        </w:tabs>
        <w:rPr>
          <w:rFonts w:ascii="Calibri" w:hAnsi="Calibri"/>
          <w:noProof/>
          <w:sz w:val="22"/>
        </w:rPr>
      </w:pPr>
      <w:hyperlink w:anchor="_Toc4745718" w:history="1">
        <w:r w:rsidR="00466856" w:rsidRPr="00205D48">
          <w:rPr>
            <w:rStyle w:val="Hyperlink"/>
            <w:noProof/>
          </w:rPr>
          <w:t>9.3.</w:t>
        </w:r>
        <w:r w:rsidR="00466856" w:rsidRPr="00D33EF7">
          <w:rPr>
            <w:rFonts w:ascii="Calibri" w:hAnsi="Calibri"/>
            <w:noProof/>
            <w:sz w:val="22"/>
          </w:rPr>
          <w:tab/>
        </w:r>
        <w:r w:rsidR="00466856" w:rsidRPr="00205D48">
          <w:rPr>
            <w:rStyle w:val="Hyperlink"/>
            <w:noProof/>
          </w:rPr>
          <w:t>НЕДОПУСТИМИ ДЕЙНОСТИ</w:t>
        </w:r>
        <w:r w:rsidR="00466856">
          <w:rPr>
            <w:noProof/>
            <w:webHidden/>
          </w:rPr>
          <w:tab/>
        </w:r>
        <w:r w:rsidR="00466856">
          <w:rPr>
            <w:noProof/>
            <w:webHidden/>
          </w:rPr>
          <w:fldChar w:fldCharType="begin"/>
        </w:r>
        <w:r w:rsidR="00466856">
          <w:rPr>
            <w:noProof/>
            <w:webHidden/>
          </w:rPr>
          <w:instrText xml:space="preserve"> PAGEREF _Toc4745718 \h </w:instrText>
        </w:r>
        <w:r w:rsidR="00466856">
          <w:rPr>
            <w:noProof/>
            <w:webHidden/>
          </w:rPr>
        </w:r>
        <w:r w:rsidR="00466856">
          <w:rPr>
            <w:noProof/>
            <w:webHidden/>
          </w:rPr>
          <w:fldChar w:fldCharType="separate"/>
        </w:r>
        <w:r w:rsidR="00305C12">
          <w:rPr>
            <w:noProof/>
            <w:webHidden/>
          </w:rPr>
          <w:t>11</w:t>
        </w:r>
        <w:r w:rsidR="00466856">
          <w:rPr>
            <w:noProof/>
            <w:webHidden/>
          </w:rPr>
          <w:fldChar w:fldCharType="end"/>
        </w:r>
      </w:hyperlink>
    </w:p>
    <w:p w:rsidR="00466856" w:rsidRPr="00D33EF7" w:rsidRDefault="00907DB4">
      <w:pPr>
        <w:pStyle w:val="TOC1"/>
        <w:tabs>
          <w:tab w:val="left" w:pos="660"/>
          <w:tab w:val="right" w:leader="dot" w:pos="9770"/>
        </w:tabs>
        <w:rPr>
          <w:rFonts w:ascii="Calibri" w:hAnsi="Calibri"/>
          <w:noProof/>
          <w:sz w:val="22"/>
        </w:rPr>
      </w:pPr>
      <w:hyperlink w:anchor="_Toc4745719" w:history="1">
        <w:r w:rsidR="00466856" w:rsidRPr="00205D48">
          <w:rPr>
            <w:rStyle w:val="Hyperlink"/>
            <w:noProof/>
          </w:rPr>
          <w:t>10.</w:t>
        </w:r>
        <w:r w:rsidR="00466856" w:rsidRPr="00D33EF7">
          <w:rPr>
            <w:rFonts w:ascii="Calibri" w:hAnsi="Calibri"/>
            <w:noProof/>
            <w:sz w:val="22"/>
          </w:rPr>
          <w:tab/>
        </w:r>
        <w:r w:rsidR="00466856" w:rsidRPr="00205D48">
          <w:rPr>
            <w:rStyle w:val="Hyperlink"/>
            <w:noProof/>
          </w:rPr>
          <w:t>КАТЕГОРИИ РАЗХОДИ, ДОПУСТИМИ ЗА ФИНАНСИРАНЕ</w:t>
        </w:r>
        <w:r w:rsidR="00466856">
          <w:rPr>
            <w:noProof/>
            <w:webHidden/>
          </w:rPr>
          <w:tab/>
        </w:r>
        <w:r w:rsidR="00466856">
          <w:rPr>
            <w:noProof/>
            <w:webHidden/>
          </w:rPr>
          <w:fldChar w:fldCharType="begin"/>
        </w:r>
        <w:r w:rsidR="00466856">
          <w:rPr>
            <w:noProof/>
            <w:webHidden/>
          </w:rPr>
          <w:instrText xml:space="preserve"> PAGEREF _Toc4745719 \h </w:instrText>
        </w:r>
        <w:r w:rsidR="00466856">
          <w:rPr>
            <w:noProof/>
            <w:webHidden/>
          </w:rPr>
        </w:r>
        <w:r w:rsidR="00466856">
          <w:rPr>
            <w:noProof/>
            <w:webHidden/>
          </w:rPr>
          <w:fldChar w:fldCharType="separate"/>
        </w:r>
        <w:r w:rsidR="00305C12">
          <w:rPr>
            <w:noProof/>
            <w:webHidden/>
          </w:rPr>
          <w:t>11</w:t>
        </w:r>
        <w:r w:rsidR="00466856">
          <w:rPr>
            <w:noProof/>
            <w:webHidden/>
          </w:rPr>
          <w:fldChar w:fldCharType="end"/>
        </w:r>
      </w:hyperlink>
    </w:p>
    <w:p w:rsidR="00466856" w:rsidRPr="00D33EF7" w:rsidRDefault="00907DB4">
      <w:pPr>
        <w:pStyle w:val="TOC2"/>
        <w:tabs>
          <w:tab w:val="left" w:pos="880"/>
          <w:tab w:val="right" w:leader="dot" w:pos="9770"/>
        </w:tabs>
        <w:rPr>
          <w:rFonts w:ascii="Calibri" w:hAnsi="Calibri"/>
          <w:noProof/>
          <w:sz w:val="22"/>
        </w:rPr>
      </w:pPr>
      <w:hyperlink w:anchor="_Toc4745720" w:history="1">
        <w:r w:rsidR="00466856" w:rsidRPr="00205D48">
          <w:rPr>
            <w:rStyle w:val="Hyperlink"/>
            <w:noProof/>
          </w:rPr>
          <w:t>10.1.</w:t>
        </w:r>
        <w:r w:rsidR="00466856" w:rsidRPr="00D33EF7">
          <w:rPr>
            <w:rFonts w:ascii="Calibri" w:hAnsi="Calibri"/>
            <w:noProof/>
            <w:sz w:val="22"/>
          </w:rPr>
          <w:tab/>
        </w:r>
        <w:r w:rsidR="00466856" w:rsidRPr="00205D48">
          <w:rPr>
            <w:rStyle w:val="Hyperlink"/>
            <w:noProof/>
          </w:rPr>
          <w:t>УСЛОВИЯ ЗА ДОПУСТИМОСТ НА РАЗХОДИТЕ</w:t>
        </w:r>
        <w:r w:rsidR="00466856">
          <w:rPr>
            <w:noProof/>
            <w:webHidden/>
          </w:rPr>
          <w:tab/>
        </w:r>
        <w:r w:rsidR="00466856">
          <w:rPr>
            <w:noProof/>
            <w:webHidden/>
          </w:rPr>
          <w:fldChar w:fldCharType="begin"/>
        </w:r>
        <w:r w:rsidR="00466856">
          <w:rPr>
            <w:noProof/>
            <w:webHidden/>
          </w:rPr>
          <w:instrText xml:space="preserve"> PAGEREF _Toc4745720 \h </w:instrText>
        </w:r>
        <w:r w:rsidR="00466856">
          <w:rPr>
            <w:noProof/>
            <w:webHidden/>
          </w:rPr>
        </w:r>
        <w:r w:rsidR="00466856">
          <w:rPr>
            <w:noProof/>
            <w:webHidden/>
          </w:rPr>
          <w:fldChar w:fldCharType="separate"/>
        </w:r>
        <w:r w:rsidR="00305C12">
          <w:rPr>
            <w:noProof/>
            <w:webHidden/>
          </w:rPr>
          <w:t>11</w:t>
        </w:r>
        <w:r w:rsidR="00466856">
          <w:rPr>
            <w:noProof/>
            <w:webHidden/>
          </w:rPr>
          <w:fldChar w:fldCharType="end"/>
        </w:r>
      </w:hyperlink>
    </w:p>
    <w:p w:rsidR="00466856" w:rsidRPr="00D33EF7" w:rsidRDefault="00907DB4">
      <w:pPr>
        <w:pStyle w:val="TOC2"/>
        <w:tabs>
          <w:tab w:val="left" w:pos="880"/>
          <w:tab w:val="right" w:leader="dot" w:pos="9770"/>
        </w:tabs>
        <w:rPr>
          <w:rFonts w:ascii="Calibri" w:hAnsi="Calibri"/>
          <w:noProof/>
          <w:sz w:val="22"/>
        </w:rPr>
      </w:pPr>
      <w:hyperlink w:anchor="_Toc4745721" w:history="1">
        <w:r w:rsidR="00466856" w:rsidRPr="00205D48">
          <w:rPr>
            <w:rStyle w:val="Hyperlink"/>
            <w:noProof/>
          </w:rPr>
          <w:t>10.2.</w:t>
        </w:r>
        <w:r w:rsidR="00466856" w:rsidRPr="00D33EF7">
          <w:rPr>
            <w:rFonts w:ascii="Calibri" w:hAnsi="Calibri"/>
            <w:noProof/>
            <w:sz w:val="22"/>
          </w:rPr>
          <w:tab/>
        </w:r>
        <w:r w:rsidR="00466856" w:rsidRPr="00205D48">
          <w:rPr>
            <w:rStyle w:val="Hyperlink"/>
            <w:noProof/>
          </w:rPr>
          <w:t>ДОПУСТИМИ РАЗХОДИ</w:t>
        </w:r>
        <w:r w:rsidR="00466856">
          <w:rPr>
            <w:noProof/>
            <w:webHidden/>
          </w:rPr>
          <w:tab/>
        </w:r>
        <w:r w:rsidR="00466856">
          <w:rPr>
            <w:noProof/>
            <w:webHidden/>
          </w:rPr>
          <w:fldChar w:fldCharType="begin"/>
        </w:r>
        <w:r w:rsidR="00466856">
          <w:rPr>
            <w:noProof/>
            <w:webHidden/>
          </w:rPr>
          <w:instrText xml:space="preserve"> PAGEREF _Toc4745721 \h </w:instrText>
        </w:r>
        <w:r w:rsidR="00466856">
          <w:rPr>
            <w:noProof/>
            <w:webHidden/>
          </w:rPr>
        </w:r>
        <w:r w:rsidR="00466856">
          <w:rPr>
            <w:noProof/>
            <w:webHidden/>
          </w:rPr>
          <w:fldChar w:fldCharType="separate"/>
        </w:r>
        <w:r w:rsidR="00305C12">
          <w:rPr>
            <w:noProof/>
            <w:webHidden/>
          </w:rPr>
          <w:t>12</w:t>
        </w:r>
        <w:r w:rsidR="00466856">
          <w:rPr>
            <w:noProof/>
            <w:webHidden/>
          </w:rPr>
          <w:fldChar w:fldCharType="end"/>
        </w:r>
      </w:hyperlink>
    </w:p>
    <w:p w:rsidR="00466856" w:rsidRPr="00D33EF7" w:rsidRDefault="00907DB4">
      <w:pPr>
        <w:pStyle w:val="TOC3"/>
        <w:tabs>
          <w:tab w:val="left" w:pos="1320"/>
          <w:tab w:val="right" w:leader="dot" w:pos="9770"/>
        </w:tabs>
        <w:rPr>
          <w:rFonts w:ascii="Calibri" w:hAnsi="Calibri"/>
          <w:noProof/>
          <w:sz w:val="22"/>
        </w:rPr>
      </w:pPr>
      <w:hyperlink w:anchor="_Toc4745722" w:history="1">
        <w:r w:rsidR="00466856" w:rsidRPr="00205D48">
          <w:rPr>
            <w:rStyle w:val="Hyperlink"/>
            <w:noProof/>
          </w:rPr>
          <w:t>10.2.1.</w:t>
        </w:r>
        <w:r w:rsidR="00466856" w:rsidRPr="00D33EF7">
          <w:rPr>
            <w:rFonts w:ascii="Calibri" w:hAnsi="Calibri"/>
            <w:noProof/>
            <w:sz w:val="22"/>
          </w:rPr>
          <w:tab/>
        </w:r>
        <w:r w:rsidR="00466856" w:rsidRPr="00205D48">
          <w:rPr>
            <w:rStyle w:val="Hyperlink"/>
            <w:noProof/>
          </w:rPr>
          <w:t>Допустими преки разходи</w:t>
        </w:r>
        <w:r w:rsidR="00466856">
          <w:rPr>
            <w:noProof/>
            <w:webHidden/>
          </w:rPr>
          <w:tab/>
        </w:r>
        <w:r w:rsidR="00466856">
          <w:rPr>
            <w:noProof/>
            <w:webHidden/>
          </w:rPr>
          <w:fldChar w:fldCharType="begin"/>
        </w:r>
        <w:r w:rsidR="00466856">
          <w:rPr>
            <w:noProof/>
            <w:webHidden/>
          </w:rPr>
          <w:instrText xml:space="preserve"> PAGEREF _Toc4745722 \h </w:instrText>
        </w:r>
        <w:r w:rsidR="00466856">
          <w:rPr>
            <w:noProof/>
            <w:webHidden/>
          </w:rPr>
        </w:r>
        <w:r w:rsidR="00466856">
          <w:rPr>
            <w:noProof/>
            <w:webHidden/>
          </w:rPr>
          <w:fldChar w:fldCharType="separate"/>
        </w:r>
        <w:r w:rsidR="00305C12">
          <w:rPr>
            <w:noProof/>
            <w:webHidden/>
          </w:rPr>
          <w:t>12</w:t>
        </w:r>
        <w:r w:rsidR="00466856">
          <w:rPr>
            <w:noProof/>
            <w:webHidden/>
          </w:rPr>
          <w:fldChar w:fldCharType="end"/>
        </w:r>
      </w:hyperlink>
    </w:p>
    <w:p w:rsidR="00466856" w:rsidRPr="00D33EF7" w:rsidRDefault="00907DB4">
      <w:pPr>
        <w:pStyle w:val="TOC3"/>
        <w:tabs>
          <w:tab w:val="left" w:pos="1320"/>
          <w:tab w:val="right" w:leader="dot" w:pos="9770"/>
        </w:tabs>
        <w:rPr>
          <w:rFonts w:ascii="Calibri" w:hAnsi="Calibri"/>
          <w:noProof/>
          <w:sz w:val="22"/>
        </w:rPr>
      </w:pPr>
      <w:hyperlink w:anchor="_Toc4745723" w:history="1">
        <w:r w:rsidR="00466856" w:rsidRPr="00205D48">
          <w:rPr>
            <w:rStyle w:val="Hyperlink"/>
            <w:noProof/>
          </w:rPr>
          <w:t>10.2.2.</w:t>
        </w:r>
        <w:r w:rsidR="00466856" w:rsidRPr="00D33EF7">
          <w:rPr>
            <w:rFonts w:ascii="Calibri" w:hAnsi="Calibri"/>
            <w:noProof/>
            <w:sz w:val="22"/>
          </w:rPr>
          <w:tab/>
        </w:r>
        <w:r w:rsidR="00466856" w:rsidRPr="00205D48">
          <w:rPr>
            <w:rStyle w:val="Hyperlink"/>
            <w:noProof/>
          </w:rPr>
          <w:t>Допустими непреки разходи по проектите</w:t>
        </w:r>
        <w:r w:rsidR="00466856">
          <w:rPr>
            <w:noProof/>
            <w:webHidden/>
          </w:rPr>
          <w:tab/>
        </w:r>
        <w:r w:rsidR="00466856">
          <w:rPr>
            <w:noProof/>
            <w:webHidden/>
          </w:rPr>
          <w:fldChar w:fldCharType="begin"/>
        </w:r>
        <w:r w:rsidR="00466856">
          <w:rPr>
            <w:noProof/>
            <w:webHidden/>
          </w:rPr>
          <w:instrText xml:space="preserve"> PAGEREF _Toc4745723 \h </w:instrText>
        </w:r>
        <w:r w:rsidR="00466856">
          <w:rPr>
            <w:noProof/>
            <w:webHidden/>
          </w:rPr>
        </w:r>
        <w:r w:rsidR="00466856">
          <w:rPr>
            <w:noProof/>
            <w:webHidden/>
          </w:rPr>
          <w:fldChar w:fldCharType="separate"/>
        </w:r>
        <w:r w:rsidR="00305C12">
          <w:rPr>
            <w:noProof/>
            <w:webHidden/>
          </w:rPr>
          <w:t>13</w:t>
        </w:r>
        <w:r w:rsidR="00466856">
          <w:rPr>
            <w:noProof/>
            <w:webHidden/>
          </w:rPr>
          <w:fldChar w:fldCharType="end"/>
        </w:r>
      </w:hyperlink>
    </w:p>
    <w:p w:rsidR="00466856" w:rsidRPr="00D33EF7" w:rsidRDefault="00907DB4">
      <w:pPr>
        <w:pStyle w:val="TOC2"/>
        <w:tabs>
          <w:tab w:val="left" w:pos="880"/>
          <w:tab w:val="right" w:leader="dot" w:pos="9770"/>
        </w:tabs>
        <w:rPr>
          <w:rFonts w:ascii="Calibri" w:hAnsi="Calibri"/>
          <w:noProof/>
          <w:sz w:val="22"/>
        </w:rPr>
      </w:pPr>
      <w:hyperlink w:anchor="_Toc4745724" w:history="1">
        <w:r w:rsidR="00466856" w:rsidRPr="00205D48">
          <w:rPr>
            <w:rStyle w:val="Hyperlink"/>
            <w:noProof/>
          </w:rPr>
          <w:t>10.3.</w:t>
        </w:r>
        <w:r w:rsidR="00466856" w:rsidRPr="00D33EF7">
          <w:rPr>
            <w:rFonts w:ascii="Calibri" w:hAnsi="Calibri"/>
            <w:noProof/>
            <w:sz w:val="22"/>
          </w:rPr>
          <w:tab/>
        </w:r>
        <w:r w:rsidR="00466856" w:rsidRPr="00205D48">
          <w:rPr>
            <w:rStyle w:val="Hyperlink"/>
            <w:noProof/>
          </w:rPr>
          <w:t>НЕДОПУСТИМИ РАЗХОДИ</w:t>
        </w:r>
        <w:r w:rsidR="00466856">
          <w:rPr>
            <w:noProof/>
            <w:webHidden/>
          </w:rPr>
          <w:tab/>
        </w:r>
        <w:r w:rsidR="00466856">
          <w:rPr>
            <w:noProof/>
            <w:webHidden/>
          </w:rPr>
          <w:fldChar w:fldCharType="begin"/>
        </w:r>
        <w:r w:rsidR="00466856">
          <w:rPr>
            <w:noProof/>
            <w:webHidden/>
          </w:rPr>
          <w:instrText xml:space="preserve"> PAGEREF _Toc4745724 \h </w:instrText>
        </w:r>
        <w:r w:rsidR="00466856">
          <w:rPr>
            <w:noProof/>
            <w:webHidden/>
          </w:rPr>
        </w:r>
        <w:r w:rsidR="00466856">
          <w:rPr>
            <w:noProof/>
            <w:webHidden/>
          </w:rPr>
          <w:fldChar w:fldCharType="separate"/>
        </w:r>
        <w:r w:rsidR="00305C12">
          <w:rPr>
            <w:noProof/>
            <w:webHidden/>
          </w:rPr>
          <w:t>13</w:t>
        </w:r>
        <w:r w:rsidR="00466856">
          <w:rPr>
            <w:noProof/>
            <w:webHidden/>
          </w:rPr>
          <w:fldChar w:fldCharType="end"/>
        </w:r>
      </w:hyperlink>
    </w:p>
    <w:p w:rsidR="00466856" w:rsidRPr="00D33EF7" w:rsidRDefault="00907DB4">
      <w:pPr>
        <w:pStyle w:val="TOC2"/>
        <w:tabs>
          <w:tab w:val="left" w:pos="880"/>
          <w:tab w:val="right" w:leader="dot" w:pos="9770"/>
        </w:tabs>
        <w:rPr>
          <w:rFonts w:ascii="Calibri" w:hAnsi="Calibri"/>
          <w:noProof/>
          <w:sz w:val="22"/>
        </w:rPr>
      </w:pPr>
      <w:hyperlink w:anchor="_Toc4745725" w:history="1">
        <w:r w:rsidR="00466856" w:rsidRPr="00205D48">
          <w:rPr>
            <w:rStyle w:val="Hyperlink"/>
            <w:noProof/>
          </w:rPr>
          <w:t>10.4.</w:t>
        </w:r>
        <w:r w:rsidR="00466856" w:rsidRPr="00D33EF7">
          <w:rPr>
            <w:rFonts w:ascii="Calibri" w:hAnsi="Calibri"/>
            <w:noProof/>
            <w:sz w:val="22"/>
          </w:rPr>
          <w:tab/>
        </w:r>
        <w:r w:rsidR="00466856" w:rsidRPr="00205D48">
          <w:rPr>
            <w:rStyle w:val="Hyperlink"/>
            <w:noProof/>
          </w:rPr>
          <w:t>БЮДЖЕТ НА ПРОЕКТНОТО ПРЕДЛОЖЕНИЕ</w:t>
        </w:r>
        <w:r w:rsidR="00466856">
          <w:rPr>
            <w:noProof/>
            <w:webHidden/>
          </w:rPr>
          <w:tab/>
        </w:r>
        <w:r w:rsidR="00466856">
          <w:rPr>
            <w:noProof/>
            <w:webHidden/>
          </w:rPr>
          <w:fldChar w:fldCharType="begin"/>
        </w:r>
        <w:r w:rsidR="00466856">
          <w:rPr>
            <w:noProof/>
            <w:webHidden/>
          </w:rPr>
          <w:instrText xml:space="preserve"> PAGEREF _Toc4745725 \h </w:instrText>
        </w:r>
        <w:r w:rsidR="00466856">
          <w:rPr>
            <w:noProof/>
            <w:webHidden/>
          </w:rPr>
        </w:r>
        <w:r w:rsidR="00466856">
          <w:rPr>
            <w:noProof/>
            <w:webHidden/>
          </w:rPr>
          <w:fldChar w:fldCharType="separate"/>
        </w:r>
        <w:r w:rsidR="00305C12">
          <w:rPr>
            <w:noProof/>
            <w:webHidden/>
          </w:rPr>
          <w:t>14</w:t>
        </w:r>
        <w:r w:rsidR="00466856">
          <w:rPr>
            <w:noProof/>
            <w:webHidden/>
          </w:rPr>
          <w:fldChar w:fldCharType="end"/>
        </w:r>
      </w:hyperlink>
    </w:p>
    <w:p w:rsidR="00466856" w:rsidRPr="00D33EF7" w:rsidRDefault="00907DB4">
      <w:pPr>
        <w:pStyle w:val="TOC1"/>
        <w:tabs>
          <w:tab w:val="left" w:pos="660"/>
          <w:tab w:val="right" w:leader="dot" w:pos="9770"/>
        </w:tabs>
        <w:rPr>
          <w:rFonts w:ascii="Calibri" w:hAnsi="Calibri"/>
          <w:noProof/>
          <w:sz w:val="22"/>
        </w:rPr>
      </w:pPr>
      <w:hyperlink w:anchor="_Toc4745726" w:history="1">
        <w:r w:rsidR="00466856" w:rsidRPr="00205D48">
          <w:rPr>
            <w:rStyle w:val="Hyperlink"/>
            <w:noProof/>
          </w:rPr>
          <w:t>11.</w:t>
        </w:r>
        <w:r w:rsidR="00466856" w:rsidRPr="00D33EF7">
          <w:rPr>
            <w:rFonts w:ascii="Calibri" w:hAnsi="Calibri"/>
            <w:noProof/>
            <w:sz w:val="22"/>
          </w:rPr>
          <w:tab/>
        </w:r>
        <w:r w:rsidR="00466856" w:rsidRPr="00205D48">
          <w:rPr>
            <w:rStyle w:val="Hyperlink"/>
            <w:noProof/>
          </w:rPr>
          <w:t>ЦЕЛЕВИ ГРУПИ:</w:t>
        </w:r>
        <w:r w:rsidR="00466856">
          <w:rPr>
            <w:noProof/>
            <w:webHidden/>
          </w:rPr>
          <w:tab/>
        </w:r>
        <w:r w:rsidR="00466856">
          <w:rPr>
            <w:noProof/>
            <w:webHidden/>
          </w:rPr>
          <w:fldChar w:fldCharType="begin"/>
        </w:r>
        <w:r w:rsidR="00466856">
          <w:rPr>
            <w:noProof/>
            <w:webHidden/>
          </w:rPr>
          <w:instrText xml:space="preserve"> PAGEREF _Toc4745726 \h </w:instrText>
        </w:r>
        <w:r w:rsidR="00466856">
          <w:rPr>
            <w:noProof/>
            <w:webHidden/>
          </w:rPr>
        </w:r>
        <w:r w:rsidR="00466856">
          <w:rPr>
            <w:noProof/>
            <w:webHidden/>
          </w:rPr>
          <w:fldChar w:fldCharType="separate"/>
        </w:r>
        <w:r w:rsidR="00305C12">
          <w:rPr>
            <w:noProof/>
            <w:webHidden/>
          </w:rPr>
          <w:t>17</w:t>
        </w:r>
        <w:r w:rsidR="00466856">
          <w:rPr>
            <w:noProof/>
            <w:webHidden/>
          </w:rPr>
          <w:fldChar w:fldCharType="end"/>
        </w:r>
      </w:hyperlink>
    </w:p>
    <w:p w:rsidR="00466856" w:rsidRPr="00D33EF7" w:rsidRDefault="00907DB4">
      <w:pPr>
        <w:pStyle w:val="TOC1"/>
        <w:tabs>
          <w:tab w:val="left" w:pos="660"/>
          <w:tab w:val="right" w:leader="dot" w:pos="9770"/>
        </w:tabs>
        <w:rPr>
          <w:rFonts w:ascii="Calibri" w:hAnsi="Calibri"/>
          <w:noProof/>
          <w:sz w:val="22"/>
        </w:rPr>
      </w:pPr>
      <w:hyperlink w:anchor="_Toc4745727" w:history="1">
        <w:r w:rsidR="00466856" w:rsidRPr="00205D48">
          <w:rPr>
            <w:rStyle w:val="Hyperlink"/>
            <w:noProof/>
          </w:rPr>
          <w:t>12.</w:t>
        </w:r>
        <w:r w:rsidR="00466856" w:rsidRPr="00D33EF7">
          <w:rPr>
            <w:rFonts w:ascii="Calibri" w:hAnsi="Calibri"/>
            <w:noProof/>
            <w:sz w:val="22"/>
          </w:rPr>
          <w:tab/>
        </w:r>
        <w:r w:rsidR="00466856" w:rsidRPr="00205D48">
          <w:rPr>
            <w:rStyle w:val="Hyperlink"/>
            <w:noProof/>
          </w:rPr>
          <w:t>ПРИЛОЖИМ РЕЖИМ НА МИНИМАЛНИ/ДЪРЖАВНИ ПОМОЩИ</w:t>
        </w:r>
        <w:r w:rsidR="00466856">
          <w:rPr>
            <w:noProof/>
            <w:webHidden/>
          </w:rPr>
          <w:tab/>
        </w:r>
        <w:r w:rsidR="00466856">
          <w:rPr>
            <w:noProof/>
            <w:webHidden/>
          </w:rPr>
          <w:fldChar w:fldCharType="begin"/>
        </w:r>
        <w:r w:rsidR="00466856">
          <w:rPr>
            <w:noProof/>
            <w:webHidden/>
          </w:rPr>
          <w:instrText xml:space="preserve"> PAGEREF _Toc4745727 \h </w:instrText>
        </w:r>
        <w:r w:rsidR="00466856">
          <w:rPr>
            <w:noProof/>
            <w:webHidden/>
          </w:rPr>
        </w:r>
        <w:r w:rsidR="00466856">
          <w:rPr>
            <w:noProof/>
            <w:webHidden/>
          </w:rPr>
          <w:fldChar w:fldCharType="separate"/>
        </w:r>
        <w:r w:rsidR="00305C12">
          <w:rPr>
            <w:noProof/>
            <w:webHidden/>
          </w:rPr>
          <w:t>18</w:t>
        </w:r>
        <w:r w:rsidR="00466856">
          <w:rPr>
            <w:noProof/>
            <w:webHidden/>
          </w:rPr>
          <w:fldChar w:fldCharType="end"/>
        </w:r>
      </w:hyperlink>
    </w:p>
    <w:p w:rsidR="00466856" w:rsidRPr="00D33EF7" w:rsidRDefault="00907DB4">
      <w:pPr>
        <w:pStyle w:val="TOC1"/>
        <w:tabs>
          <w:tab w:val="left" w:pos="660"/>
          <w:tab w:val="right" w:leader="dot" w:pos="9770"/>
        </w:tabs>
        <w:rPr>
          <w:rFonts w:ascii="Calibri" w:hAnsi="Calibri"/>
          <w:noProof/>
          <w:sz w:val="22"/>
        </w:rPr>
      </w:pPr>
      <w:hyperlink w:anchor="_Toc4745728" w:history="1">
        <w:r w:rsidR="00466856" w:rsidRPr="00205D48">
          <w:rPr>
            <w:rStyle w:val="Hyperlink"/>
            <w:noProof/>
          </w:rPr>
          <w:t>13.</w:t>
        </w:r>
        <w:r w:rsidR="00466856" w:rsidRPr="00D33EF7">
          <w:rPr>
            <w:rFonts w:ascii="Calibri" w:hAnsi="Calibri"/>
            <w:noProof/>
            <w:sz w:val="22"/>
          </w:rPr>
          <w:tab/>
        </w:r>
        <w:r w:rsidR="00466856" w:rsidRPr="00205D48">
          <w:rPr>
            <w:rStyle w:val="Hyperlink"/>
            <w:noProof/>
          </w:rPr>
          <w:t>МИНИМАЛЕН И МАКСИМАЛЕН СРОК ЗА ИЗПЪЛНЕНИЕ НА ПРОЕКТА</w:t>
        </w:r>
        <w:r w:rsidR="00466856">
          <w:rPr>
            <w:noProof/>
            <w:webHidden/>
          </w:rPr>
          <w:tab/>
        </w:r>
        <w:r w:rsidR="00466856">
          <w:rPr>
            <w:noProof/>
            <w:webHidden/>
          </w:rPr>
          <w:fldChar w:fldCharType="begin"/>
        </w:r>
        <w:r w:rsidR="00466856">
          <w:rPr>
            <w:noProof/>
            <w:webHidden/>
          </w:rPr>
          <w:instrText xml:space="preserve"> PAGEREF _Toc4745728 \h </w:instrText>
        </w:r>
        <w:r w:rsidR="00466856">
          <w:rPr>
            <w:noProof/>
            <w:webHidden/>
          </w:rPr>
        </w:r>
        <w:r w:rsidR="00466856">
          <w:rPr>
            <w:noProof/>
            <w:webHidden/>
          </w:rPr>
          <w:fldChar w:fldCharType="separate"/>
        </w:r>
        <w:r w:rsidR="00305C12">
          <w:rPr>
            <w:noProof/>
            <w:webHidden/>
          </w:rPr>
          <w:t>21</w:t>
        </w:r>
        <w:r w:rsidR="00466856">
          <w:rPr>
            <w:noProof/>
            <w:webHidden/>
          </w:rPr>
          <w:fldChar w:fldCharType="end"/>
        </w:r>
      </w:hyperlink>
    </w:p>
    <w:p w:rsidR="00466856" w:rsidRPr="00D33EF7" w:rsidRDefault="00907DB4">
      <w:pPr>
        <w:pStyle w:val="TOC1"/>
        <w:tabs>
          <w:tab w:val="left" w:pos="660"/>
          <w:tab w:val="right" w:leader="dot" w:pos="9770"/>
        </w:tabs>
        <w:rPr>
          <w:rFonts w:ascii="Calibri" w:hAnsi="Calibri"/>
          <w:noProof/>
          <w:sz w:val="22"/>
        </w:rPr>
      </w:pPr>
      <w:hyperlink w:anchor="_Toc4745729" w:history="1">
        <w:r w:rsidR="00466856" w:rsidRPr="00205D48">
          <w:rPr>
            <w:rStyle w:val="Hyperlink"/>
            <w:noProof/>
          </w:rPr>
          <w:t>14.</w:t>
        </w:r>
        <w:r w:rsidR="00466856" w:rsidRPr="00D33EF7">
          <w:rPr>
            <w:rFonts w:ascii="Calibri" w:hAnsi="Calibri"/>
            <w:noProof/>
            <w:sz w:val="22"/>
          </w:rPr>
          <w:tab/>
        </w:r>
        <w:r w:rsidR="00466856" w:rsidRPr="00205D48">
          <w:rPr>
            <w:rStyle w:val="Hyperlink"/>
            <w:noProof/>
          </w:rPr>
          <w:t>РЕД ЗА ОЦЕНЯВАНЕ НА ПРОЕКТНОТО ПРЕДЛОЖЕНИЕ</w:t>
        </w:r>
        <w:r w:rsidR="00466856">
          <w:rPr>
            <w:noProof/>
            <w:webHidden/>
          </w:rPr>
          <w:tab/>
        </w:r>
        <w:r w:rsidR="00466856">
          <w:rPr>
            <w:noProof/>
            <w:webHidden/>
          </w:rPr>
          <w:fldChar w:fldCharType="begin"/>
        </w:r>
        <w:r w:rsidR="00466856">
          <w:rPr>
            <w:noProof/>
            <w:webHidden/>
          </w:rPr>
          <w:instrText xml:space="preserve"> PAGEREF _Toc4745729 \h </w:instrText>
        </w:r>
        <w:r w:rsidR="00466856">
          <w:rPr>
            <w:noProof/>
            <w:webHidden/>
          </w:rPr>
        </w:r>
        <w:r w:rsidR="00466856">
          <w:rPr>
            <w:noProof/>
            <w:webHidden/>
          </w:rPr>
          <w:fldChar w:fldCharType="separate"/>
        </w:r>
        <w:r w:rsidR="00305C12">
          <w:rPr>
            <w:noProof/>
            <w:webHidden/>
          </w:rPr>
          <w:t>21</w:t>
        </w:r>
        <w:r w:rsidR="00466856">
          <w:rPr>
            <w:noProof/>
            <w:webHidden/>
          </w:rPr>
          <w:fldChar w:fldCharType="end"/>
        </w:r>
      </w:hyperlink>
    </w:p>
    <w:p w:rsidR="00466856" w:rsidRPr="00D33EF7" w:rsidRDefault="00907DB4">
      <w:pPr>
        <w:pStyle w:val="TOC1"/>
        <w:tabs>
          <w:tab w:val="left" w:pos="660"/>
          <w:tab w:val="right" w:leader="dot" w:pos="9770"/>
        </w:tabs>
        <w:rPr>
          <w:rFonts w:ascii="Calibri" w:hAnsi="Calibri"/>
          <w:noProof/>
          <w:sz w:val="22"/>
        </w:rPr>
      </w:pPr>
      <w:hyperlink w:anchor="_Toc4745730" w:history="1">
        <w:r w:rsidR="00466856" w:rsidRPr="00205D48">
          <w:rPr>
            <w:rStyle w:val="Hyperlink"/>
            <w:noProof/>
          </w:rPr>
          <w:t>15.</w:t>
        </w:r>
        <w:r w:rsidR="00466856" w:rsidRPr="00D33EF7">
          <w:rPr>
            <w:rFonts w:ascii="Calibri" w:hAnsi="Calibri"/>
            <w:noProof/>
            <w:sz w:val="22"/>
          </w:rPr>
          <w:tab/>
        </w:r>
        <w:r w:rsidR="00466856" w:rsidRPr="00205D48">
          <w:rPr>
            <w:rStyle w:val="Hyperlink"/>
            <w:noProof/>
          </w:rPr>
          <w:t>НАЧИН НА ПОДАВАНЕ НА ПРОЕКТНОТО ПРЕДЛОЖЕНИЕ</w:t>
        </w:r>
        <w:r w:rsidR="00466856">
          <w:rPr>
            <w:noProof/>
            <w:webHidden/>
          </w:rPr>
          <w:tab/>
        </w:r>
        <w:r w:rsidR="00466856">
          <w:rPr>
            <w:noProof/>
            <w:webHidden/>
          </w:rPr>
          <w:fldChar w:fldCharType="begin"/>
        </w:r>
        <w:r w:rsidR="00466856">
          <w:rPr>
            <w:noProof/>
            <w:webHidden/>
          </w:rPr>
          <w:instrText xml:space="preserve"> PAGEREF _Toc4745730 \h </w:instrText>
        </w:r>
        <w:r w:rsidR="00466856">
          <w:rPr>
            <w:noProof/>
            <w:webHidden/>
          </w:rPr>
        </w:r>
        <w:r w:rsidR="00466856">
          <w:rPr>
            <w:noProof/>
            <w:webHidden/>
          </w:rPr>
          <w:fldChar w:fldCharType="separate"/>
        </w:r>
        <w:r w:rsidR="00305C12">
          <w:rPr>
            <w:noProof/>
            <w:webHidden/>
          </w:rPr>
          <w:t>24</w:t>
        </w:r>
        <w:r w:rsidR="00466856">
          <w:rPr>
            <w:noProof/>
            <w:webHidden/>
          </w:rPr>
          <w:fldChar w:fldCharType="end"/>
        </w:r>
      </w:hyperlink>
    </w:p>
    <w:p w:rsidR="00466856" w:rsidRPr="00D33EF7" w:rsidRDefault="00907DB4">
      <w:pPr>
        <w:pStyle w:val="TOC1"/>
        <w:tabs>
          <w:tab w:val="left" w:pos="660"/>
          <w:tab w:val="right" w:leader="dot" w:pos="9770"/>
        </w:tabs>
        <w:rPr>
          <w:rFonts w:ascii="Calibri" w:hAnsi="Calibri"/>
          <w:noProof/>
          <w:sz w:val="22"/>
        </w:rPr>
      </w:pPr>
      <w:hyperlink w:anchor="_Toc4745731" w:history="1">
        <w:r w:rsidR="00466856" w:rsidRPr="00205D48">
          <w:rPr>
            <w:rStyle w:val="Hyperlink"/>
            <w:noProof/>
          </w:rPr>
          <w:t>16.</w:t>
        </w:r>
        <w:r w:rsidR="00466856" w:rsidRPr="00D33EF7">
          <w:rPr>
            <w:rFonts w:ascii="Calibri" w:hAnsi="Calibri"/>
            <w:noProof/>
            <w:sz w:val="22"/>
          </w:rPr>
          <w:tab/>
        </w:r>
        <w:r w:rsidR="00466856" w:rsidRPr="00205D48">
          <w:rPr>
            <w:rStyle w:val="Hyperlink"/>
            <w:noProof/>
          </w:rPr>
          <w:t>СПИСЪК НА ДОКУМЕНТИТЕ, КОИТО СЕ ПОДАВАТ НА ЕТАП КАНДИДАТСТВАНЕ:</w:t>
        </w:r>
        <w:r w:rsidR="00466856">
          <w:rPr>
            <w:noProof/>
            <w:webHidden/>
          </w:rPr>
          <w:tab/>
        </w:r>
        <w:r w:rsidR="00466856">
          <w:rPr>
            <w:noProof/>
            <w:webHidden/>
          </w:rPr>
          <w:fldChar w:fldCharType="begin"/>
        </w:r>
        <w:r w:rsidR="00466856">
          <w:rPr>
            <w:noProof/>
            <w:webHidden/>
          </w:rPr>
          <w:instrText xml:space="preserve"> PAGEREF _Toc4745731 \h </w:instrText>
        </w:r>
        <w:r w:rsidR="00466856">
          <w:rPr>
            <w:noProof/>
            <w:webHidden/>
          </w:rPr>
        </w:r>
        <w:r w:rsidR="00466856">
          <w:rPr>
            <w:noProof/>
            <w:webHidden/>
          </w:rPr>
          <w:fldChar w:fldCharType="separate"/>
        </w:r>
        <w:r w:rsidR="00305C12">
          <w:rPr>
            <w:noProof/>
            <w:webHidden/>
          </w:rPr>
          <w:t>25</w:t>
        </w:r>
        <w:r w:rsidR="00466856">
          <w:rPr>
            <w:noProof/>
            <w:webHidden/>
          </w:rPr>
          <w:fldChar w:fldCharType="end"/>
        </w:r>
      </w:hyperlink>
    </w:p>
    <w:p w:rsidR="00466856" w:rsidRPr="00D33EF7" w:rsidRDefault="00907DB4">
      <w:pPr>
        <w:pStyle w:val="TOC1"/>
        <w:tabs>
          <w:tab w:val="left" w:pos="660"/>
          <w:tab w:val="right" w:leader="dot" w:pos="9770"/>
        </w:tabs>
        <w:rPr>
          <w:rFonts w:ascii="Calibri" w:hAnsi="Calibri"/>
          <w:noProof/>
          <w:sz w:val="22"/>
        </w:rPr>
      </w:pPr>
      <w:hyperlink w:anchor="_Toc4745732" w:history="1">
        <w:r w:rsidR="00466856" w:rsidRPr="00205D48">
          <w:rPr>
            <w:rStyle w:val="Hyperlink"/>
            <w:noProof/>
          </w:rPr>
          <w:t>17.</w:t>
        </w:r>
        <w:r w:rsidR="00466856" w:rsidRPr="00D33EF7">
          <w:rPr>
            <w:rFonts w:ascii="Calibri" w:hAnsi="Calibri"/>
            <w:noProof/>
            <w:sz w:val="22"/>
          </w:rPr>
          <w:tab/>
        </w:r>
        <w:r w:rsidR="00466856" w:rsidRPr="00205D48">
          <w:rPr>
            <w:rStyle w:val="Hyperlink"/>
            <w:noProof/>
          </w:rPr>
          <w:t>КРАЕН СРОК ЗА ПОДАВАНЕ НА ПРОЕКТНОТО ПРЕДЛОЖЕНИЕ:</w:t>
        </w:r>
        <w:r w:rsidR="00466856">
          <w:rPr>
            <w:noProof/>
            <w:webHidden/>
          </w:rPr>
          <w:tab/>
        </w:r>
        <w:r w:rsidR="00466856">
          <w:rPr>
            <w:noProof/>
            <w:webHidden/>
          </w:rPr>
          <w:fldChar w:fldCharType="begin"/>
        </w:r>
        <w:r w:rsidR="00466856">
          <w:rPr>
            <w:noProof/>
            <w:webHidden/>
          </w:rPr>
          <w:instrText xml:space="preserve"> PAGEREF _Toc4745732 \h </w:instrText>
        </w:r>
        <w:r w:rsidR="00466856">
          <w:rPr>
            <w:noProof/>
            <w:webHidden/>
          </w:rPr>
        </w:r>
        <w:r w:rsidR="00466856">
          <w:rPr>
            <w:noProof/>
            <w:webHidden/>
          </w:rPr>
          <w:fldChar w:fldCharType="separate"/>
        </w:r>
        <w:r w:rsidR="00305C12">
          <w:rPr>
            <w:noProof/>
            <w:webHidden/>
          </w:rPr>
          <w:t>26</w:t>
        </w:r>
        <w:r w:rsidR="00466856">
          <w:rPr>
            <w:noProof/>
            <w:webHidden/>
          </w:rPr>
          <w:fldChar w:fldCharType="end"/>
        </w:r>
      </w:hyperlink>
    </w:p>
    <w:p w:rsidR="00466856" w:rsidRPr="00D33EF7" w:rsidRDefault="00907DB4">
      <w:pPr>
        <w:pStyle w:val="TOC1"/>
        <w:tabs>
          <w:tab w:val="left" w:pos="660"/>
          <w:tab w:val="right" w:leader="dot" w:pos="9770"/>
        </w:tabs>
        <w:rPr>
          <w:rFonts w:ascii="Calibri" w:hAnsi="Calibri"/>
          <w:noProof/>
          <w:sz w:val="22"/>
        </w:rPr>
      </w:pPr>
      <w:hyperlink w:anchor="_Toc4745733" w:history="1">
        <w:r w:rsidR="00466856" w:rsidRPr="00205D48">
          <w:rPr>
            <w:rStyle w:val="Hyperlink"/>
            <w:noProof/>
          </w:rPr>
          <w:t>18.</w:t>
        </w:r>
        <w:r w:rsidR="00466856" w:rsidRPr="00D33EF7">
          <w:rPr>
            <w:rFonts w:ascii="Calibri" w:hAnsi="Calibri"/>
            <w:noProof/>
            <w:sz w:val="22"/>
          </w:rPr>
          <w:tab/>
        </w:r>
        <w:r w:rsidR="00466856" w:rsidRPr="00205D48">
          <w:rPr>
            <w:rStyle w:val="Hyperlink"/>
            <w:noProof/>
          </w:rPr>
          <w:t>АДРЕС ЗА ПОДАВАНЕ НА ПРОЕКТНОТО ПРЕДЛОЖЕНИЕ</w:t>
        </w:r>
        <w:r w:rsidR="00466856">
          <w:rPr>
            <w:noProof/>
            <w:webHidden/>
          </w:rPr>
          <w:tab/>
        </w:r>
        <w:r w:rsidR="00466856">
          <w:rPr>
            <w:noProof/>
            <w:webHidden/>
          </w:rPr>
          <w:fldChar w:fldCharType="begin"/>
        </w:r>
        <w:r w:rsidR="00466856">
          <w:rPr>
            <w:noProof/>
            <w:webHidden/>
          </w:rPr>
          <w:instrText xml:space="preserve"> PAGEREF _Toc4745733 \h </w:instrText>
        </w:r>
        <w:r w:rsidR="00466856">
          <w:rPr>
            <w:noProof/>
            <w:webHidden/>
          </w:rPr>
        </w:r>
        <w:r w:rsidR="00466856">
          <w:rPr>
            <w:noProof/>
            <w:webHidden/>
          </w:rPr>
          <w:fldChar w:fldCharType="separate"/>
        </w:r>
        <w:r w:rsidR="00305C12">
          <w:rPr>
            <w:noProof/>
            <w:webHidden/>
          </w:rPr>
          <w:t>26</w:t>
        </w:r>
        <w:r w:rsidR="00466856">
          <w:rPr>
            <w:noProof/>
            <w:webHidden/>
          </w:rPr>
          <w:fldChar w:fldCharType="end"/>
        </w:r>
      </w:hyperlink>
    </w:p>
    <w:p w:rsidR="00DD4AC6" w:rsidRPr="007F5255" w:rsidRDefault="007C5463" w:rsidP="008B2406">
      <w:pPr>
        <w:rPr>
          <w:szCs w:val="18"/>
        </w:rPr>
      </w:pPr>
      <w:r w:rsidRPr="007F5255">
        <w:rPr>
          <w:b/>
          <w:bCs/>
          <w:szCs w:val="18"/>
        </w:rPr>
        <w:fldChar w:fldCharType="end"/>
      </w:r>
      <w:r w:rsidR="00DD4AC6" w:rsidRPr="007F5255">
        <w:rPr>
          <w:szCs w:val="18"/>
        </w:rPr>
        <w:br w:type="page"/>
      </w:r>
    </w:p>
    <w:p w:rsidR="000D6180" w:rsidRPr="007F5255" w:rsidRDefault="0069585E" w:rsidP="0080251B">
      <w:pPr>
        <w:pStyle w:val="Heading1"/>
        <w:rPr>
          <w:lang w:val="bg-BG"/>
        </w:rPr>
      </w:pPr>
      <w:bookmarkStart w:id="0" w:name="_Toc4745702"/>
      <w:bookmarkStart w:id="1" w:name="_Toc125361895"/>
      <w:r w:rsidRPr="007F5255">
        <w:rPr>
          <w:lang w:val="bg-BG"/>
        </w:rPr>
        <w:lastRenderedPageBreak/>
        <w:t>ПРОГРАМА „</w:t>
      </w:r>
      <w:r w:rsidR="00323FE7" w:rsidRPr="007F5255">
        <w:rPr>
          <w:lang w:val="bg-BG"/>
        </w:rPr>
        <w:t xml:space="preserve">ВЪЗОБНОВЯЕМА ЕНЕРГИЯ, </w:t>
      </w:r>
      <w:r w:rsidRPr="007F5255">
        <w:rPr>
          <w:lang w:val="bg-BG"/>
        </w:rPr>
        <w:t>ЕНЕРГИЙНА ЕФЕКТИВНОСТ</w:t>
      </w:r>
      <w:r w:rsidR="00323FE7" w:rsidRPr="007F5255">
        <w:rPr>
          <w:lang w:val="bg-BG"/>
        </w:rPr>
        <w:t>, ЕНЕРГИЙНА СИГУРНОСТ</w:t>
      </w:r>
      <w:r w:rsidR="00845356" w:rsidRPr="007F5255">
        <w:rPr>
          <w:lang w:val="bg-BG"/>
        </w:rPr>
        <w:t>”</w:t>
      </w:r>
      <w:bookmarkEnd w:id="0"/>
    </w:p>
    <w:p w:rsidR="00244C5D" w:rsidRPr="007F5255" w:rsidRDefault="00AD1B17" w:rsidP="00AD1B17">
      <w:pPr>
        <w:rPr>
          <w:szCs w:val="18"/>
          <w:lang w:eastAsia="ar-SA"/>
        </w:rPr>
      </w:pPr>
      <w:r w:rsidRPr="007F5255">
        <w:rPr>
          <w:szCs w:val="18"/>
          <w:lang w:eastAsia="ar-SA"/>
        </w:rPr>
        <w:t xml:space="preserve">Програма </w:t>
      </w:r>
      <w:r w:rsidR="005355A8" w:rsidRPr="007F5255">
        <w:rPr>
          <w:szCs w:val="18"/>
          <w:lang w:eastAsia="ar-SA"/>
        </w:rPr>
        <w:t xml:space="preserve">„Възобновяема енергия, енергийна ефективност, енергийна сигурност“ (Програмата) </w:t>
      </w:r>
      <w:r w:rsidRPr="007F5255">
        <w:rPr>
          <w:szCs w:val="18"/>
          <w:lang w:eastAsia="ar-SA"/>
        </w:rPr>
        <w:t>се финансира от Финансовия механизъм на Европейското икономическо пространство (</w:t>
      </w:r>
      <w:proofErr w:type="spellStart"/>
      <w:r w:rsidRPr="007F5255">
        <w:rPr>
          <w:szCs w:val="18"/>
          <w:lang w:eastAsia="ar-SA"/>
        </w:rPr>
        <w:t>ФМ</w:t>
      </w:r>
      <w:proofErr w:type="spellEnd"/>
      <w:r w:rsidRPr="007F5255">
        <w:rPr>
          <w:szCs w:val="18"/>
          <w:lang w:eastAsia="ar-SA"/>
        </w:rPr>
        <w:t xml:space="preserve"> на ЕИП) 20</w:t>
      </w:r>
      <w:r w:rsidR="005355A8" w:rsidRPr="007F5255">
        <w:rPr>
          <w:szCs w:val="18"/>
          <w:lang w:eastAsia="ar-SA"/>
        </w:rPr>
        <w:t>14</w:t>
      </w:r>
      <w:r w:rsidRPr="007F5255">
        <w:rPr>
          <w:szCs w:val="18"/>
          <w:lang w:eastAsia="ar-SA"/>
        </w:rPr>
        <w:t>-20</w:t>
      </w:r>
      <w:r w:rsidR="005355A8" w:rsidRPr="007F5255">
        <w:rPr>
          <w:szCs w:val="18"/>
          <w:lang w:eastAsia="ar-SA"/>
        </w:rPr>
        <w:t>21.</w:t>
      </w:r>
      <w:r w:rsidRPr="007F5255">
        <w:rPr>
          <w:szCs w:val="18"/>
          <w:lang w:eastAsia="ar-SA"/>
        </w:rPr>
        <w:t xml:space="preserve"> </w:t>
      </w:r>
      <w:r w:rsidR="005355A8" w:rsidRPr="007F5255">
        <w:rPr>
          <w:szCs w:val="18"/>
          <w:lang w:eastAsia="ar-SA"/>
        </w:rPr>
        <w:t>Министерството на енергетиката е определено официално за Програмен оператор</w:t>
      </w:r>
      <w:r w:rsidR="00835232" w:rsidRPr="005E009F">
        <w:rPr>
          <w:szCs w:val="18"/>
          <w:lang w:eastAsia="ar-SA"/>
        </w:rPr>
        <w:t xml:space="preserve"> </w:t>
      </w:r>
      <w:r w:rsidR="00835232">
        <w:rPr>
          <w:szCs w:val="18"/>
          <w:lang w:eastAsia="ar-SA"/>
        </w:rPr>
        <w:t>(ПО)</w:t>
      </w:r>
      <w:r w:rsidR="005355A8" w:rsidRPr="007F5255">
        <w:rPr>
          <w:szCs w:val="18"/>
          <w:lang w:eastAsia="ar-SA"/>
        </w:rPr>
        <w:t xml:space="preserve"> на Програма</w:t>
      </w:r>
      <w:r w:rsidR="00244C5D" w:rsidRPr="007F5255">
        <w:rPr>
          <w:szCs w:val="18"/>
          <w:lang w:eastAsia="ar-SA"/>
        </w:rPr>
        <w:t>та</w:t>
      </w:r>
      <w:r w:rsidR="005355A8" w:rsidRPr="007F5255">
        <w:rPr>
          <w:szCs w:val="18"/>
          <w:lang w:eastAsia="ar-SA"/>
        </w:rPr>
        <w:t xml:space="preserve"> с подписването на Меморандума за разбирателство относно изпълнението на </w:t>
      </w:r>
      <w:proofErr w:type="spellStart"/>
      <w:r w:rsidR="005355A8" w:rsidRPr="007F5255">
        <w:rPr>
          <w:szCs w:val="18"/>
          <w:lang w:eastAsia="ar-SA"/>
        </w:rPr>
        <w:t>ФМ</w:t>
      </w:r>
      <w:proofErr w:type="spellEnd"/>
      <w:r w:rsidR="005355A8" w:rsidRPr="007F5255">
        <w:rPr>
          <w:szCs w:val="18"/>
          <w:lang w:eastAsia="ar-SA"/>
        </w:rPr>
        <w:t xml:space="preserve"> на ЕИП 2014-2021 на </w:t>
      </w:r>
      <w:r w:rsidR="00504125" w:rsidRPr="00504125">
        <w:rPr>
          <w:szCs w:val="18"/>
          <w:lang w:eastAsia="ar-SA"/>
        </w:rPr>
        <w:t>09 декември 2016 г.</w:t>
      </w:r>
      <w:r w:rsidR="00244C5D" w:rsidRPr="007F5255">
        <w:rPr>
          <w:szCs w:val="18"/>
          <w:lang w:eastAsia="ar-SA"/>
        </w:rPr>
        <w:t xml:space="preserve"> </w:t>
      </w:r>
      <w:r w:rsidR="000E27B2" w:rsidRPr="007F5255">
        <w:rPr>
          <w:szCs w:val="18"/>
          <w:lang w:eastAsia="ar-SA"/>
        </w:rPr>
        <w:t xml:space="preserve">Програмата се изпълнява в партньорство с </w:t>
      </w:r>
      <w:r w:rsidR="00B870F1" w:rsidRPr="007F5255">
        <w:rPr>
          <w:szCs w:val="18"/>
          <w:lang w:eastAsia="ar-SA"/>
        </w:rPr>
        <w:t>Норвежката дирекция „Водни ресурси и енергетика“ (</w:t>
      </w:r>
      <w:proofErr w:type="spellStart"/>
      <w:r w:rsidR="00B870F1" w:rsidRPr="007F5255">
        <w:rPr>
          <w:szCs w:val="18"/>
          <w:lang w:eastAsia="ar-SA"/>
        </w:rPr>
        <w:t>NVE</w:t>
      </w:r>
      <w:proofErr w:type="spellEnd"/>
      <w:r w:rsidR="00B870F1" w:rsidRPr="007F5255">
        <w:rPr>
          <w:szCs w:val="18"/>
          <w:lang w:eastAsia="ar-SA"/>
        </w:rPr>
        <w:t>) и Националният енергиен орган на Исландия (</w:t>
      </w:r>
      <w:proofErr w:type="spellStart"/>
      <w:r w:rsidR="00B870F1" w:rsidRPr="007F5255">
        <w:rPr>
          <w:szCs w:val="18"/>
          <w:lang w:eastAsia="ar-SA"/>
        </w:rPr>
        <w:t>ОS</w:t>
      </w:r>
      <w:proofErr w:type="spellEnd"/>
      <w:r w:rsidR="00B870F1" w:rsidRPr="007F5255">
        <w:rPr>
          <w:szCs w:val="18"/>
          <w:lang w:eastAsia="ar-SA"/>
        </w:rPr>
        <w:t>).</w:t>
      </w:r>
    </w:p>
    <w:p w:rsidR="00AD1B17" w:rsidRPr="007F5255" w:rsidRDefault="00AD1B17" w:rsidP="00AD1B17">
      <w:pPr>
        <w:rPr>
          <w:szCs w:val="18"/>
          <w:lang w:eastAsia="ar-SA"/>
        </w:rPr>
      </w:pPr>
      <w:r w:rsidRPr="007F5255">
        <w:rPr>
          <w:szCs w:val="18"/>
          <w:lang w:eastAsia="ar-SA"/>
        </w:rPr>
        <w:t>Основна цел на Програмата е намаляване на въглеродната интензивност и повишаване на сигурността на доставките чрез:</w:t>
      </w:r>
    </w:p>
    <w:p w:rsidR="00AD1B17" w:rsidRPr="007F5255" w:rsidRDefault="00AD1B17" w:rsidP="000E27B2">
      <w:pPr>
        <w:numPr>
          <w:ilvl w:val="0"/>
          <w:numId w:val="10"/>
        </w:numPr>
        <w:rPr>
          <w:szCs w:val="18"/>
          <w:lang w:eastAsia="ar-SA"/>
        </w:rPr>
      </w:pPr>
      <w:r w:rsidRPr="007F5255">
        <w:rPr>
          <w:szCs w:val="18"/>
          <w:lang w:eastAsia="ar-SA"/>
        </w:rPr>
        <w:t>Повишаване на производството на енергия от възобновяеми източници;</w:t>
      </w:r>
    </w:p>
    <w:p w:rsidR="00AD1B17" w:rsidRPr="007F5255" w:rsidRDefault="00AD1B17" w:rsidP="000E27B2">
      <w:pPr>
        <w:numPr>
          <w:ilvl w:val="0"/>
          <w:numId w:val="10"/>
        </w:numPr>
        <w:rPr>
          <w:szCs w:val="18"/>
          <w:lang w:eastAsia="ar-SA"/>
        </w:rPr>
      </w:pPr>
      <w:r w:rsidRPr="007F5255">
        <w:rPr>
          <w:szCs w:val="18"/>
          <w:lang w:eastAsia="ar-SA"/>
        </w:rPr>
        <w:t>Подобряване на енергийната ефективност в сградите, индустрията и общините;</w:t>
      </w:r>
    </w:p>
    <w:p w:rsidR="000D6180" w:rsidRPr="007F5255" w:rsidRDefault="00AD1B17" w:rsidP="000E27B2">
      <w:pPr>
        <w:numPr>
          <w:ilvl w:val="0"/>
          <w:numId w:val="10"/>
        </w:numPr>
        <w:ind w:left="709" w:hanging="349"/>
        <w:rPr>
          <w:szCs w:val="18"/>
          <w:lang w:eastAsia="ar-SA"/>
        </w:rPr>
      </w:pPr>
      <w:r w:rsidRPr="007F5255">
        <w:rPr>
          <w:szCs w:val="18"/>
          <w:lang w:eastAsia="ar-SA"/>
        </w:rPr>
        <w:t xml:space="preserve">Повишаване на експертния капацитет в областта на възобновяемата енергия, енергийната ефективност и </w:t>
      </w:r>
      <w:r w:rsidR="001F02B2" w:rsidRPr="007F5255">
        <w:rPr>
          <w:szCs w:val="18"/>
          <w:lang w:eastAsia="ar-SA"/>
        </w:rPr>
        <w:t>управлението</w:t>
      </w:r>
      <w:r w:rsidRPr="007F5255">
        <w:rPr>
          <w:szCs w:val="18"/>
          <w:lang w:eastAsia="ar-SA"/>
        </w:rPr>
        <w:t xml:space="preserve"> на енергията.</w:t>
      </w:r>
    </w:p>
    <w:p w:rsidR="00A4259A" w:rsidRPr="007F5255" w:rsidRDefault="00A4259A" w:rsidP="0080251B">
      <w:pPr>
        <w:pStyle w:val="Heading1"/>
        <w:rPr>
          <w:lang w:val="bg-BG"/>
        </w:rPr>
      </w:pPr>
      <w:bookmarkStart w:id="2" w:name="_Toc4745703"/>
      <w:r w:rsidRPr="007F5255">
        <w:rPr>
          <w:lang w:val="bg-BG"/>
        </w:rPr>
        <w:t>ПРАВНА И ИНСТИТУЦИОНАЛНА РАМКА</w:t>
      </w:r>
      <w:bookmarkEnd w:id="2"/>
    </w:p>
    <w:p w:rsidR="00A4259A" w:rsidRDefault="00A4259A" w:rsidP="000744E0">
      <w:pPr>
        <w:pStyle w:val="Heading2"/>
        <w:rPr>
          <w:rStyle w:val="Heading2Char"/>
          <w:b/>
        </w:rPr>
      </w:pPr>
      <w:bookmarkStart w:id="3" w:name="_Toc4745704"/>
      <w:r w:rsidRPr="007F5255">
        <w:rPr>
          <w:rStyle w:val="Heading2Char"/>
          <w:b/>
        </w:rPr>
        <w:t>ПРОГРАМНИ ДОКУМЕНТИ</w:t>
      </w:r>
      <w:bookmarkEnd w:id="3"/>
    </w:p>
    <w:p w:rsidR="00C33539" w:rsidRDefault="00C33539" w:rsidP="00C33539">
      <w:pPr>
        <w:rPr>
          <w:lang w:eastAsia="ar-SA"/>
        </w:rPr>
      </w:pPr>
      <w:r>
        <w:rPr>
          <w:lang w:eastAsia="ar-SA"/>
        </w:rPr>
        <w:t>1.</w:t>
      </w:r>
      <w:r>
        <w:rPr>
          <w:lang w:eastAsia="ar-SA"/>
        </w:rPr>
        <w:tab/>
        <w:t>Програмните документи по Финансовия механизъм на ЕИП 2014-2021 и Програма „Възобновяема енергия, енергийна ефективност, енергийна сигурност“, подписано на 21 юни 2018 г.</w:t>
      </w:r>
      <w:r w:rsidR="009A351B">
        <w:rPr>
          <w:lang w:eastAsia="ar-SA"/>
        </w:rPr>
        <w:t xml:space="preserve">, </w:t>
      </w:r>
      <w:r w:rsidR="009A351B" w:rsidRPr="00A40515">
        <w:rPr>
          <w:lang w:eastAsia="ar-SA"/>
        </w:rPr>
        <w:t>са както следва</w:t>
      </w:r>
      <w:r>
        <w:rPr>
          <w:lang w:eastAsia="ar-SA"/>
        </w:rPr>
        <w:t>:</w:t>
      </w:r>
    </w:p>
    <w:p w:rsidR="00C33539" w:rsidRDefault="00C33539" w:rsidP="00C33539">
      <w:pPr>
        <w:rPr>
          <w:lang w:eastAsia="ar-SA"/>
        </w:rPr>
      </w:pPr>
      <w:r>
        <w:rPr>
          <w:lang w:eastAsia="ar-SA"/>
        </w:rPr>
        <w:t>а)</w:t>
      </w:r>
      <w:r>
        <w:rPr>
          <w:lang w:eastAsia="ar-SA"/>
        </w:rPr>
        <w:tab/>
        <w:t xml:space="preserve">Споразумение между Европейския съюз и Исландия, Княжество Лихтенщайн и Кралство Норвегия относно </w:t>
      </w:r>
      <w:proofErr w:type="spellStart"/>
      <w:r>
        <w:rPr>
          <w:lang w:eastAsia="ar-SA"/>
        </w:rPr>
        <w:t>ФМ</w:t>
      </w:r>
      <w:proofErr w:type="spellEnd"/>
      <w:r>
        <w:rPr>
          <w:lang w:eastAsia="ar-SA"/>
        </w:rPr>
        <w:t xml:space="preserve"> на ЕИП 2014-2021;</w:t>
      </w:r>
    </w:p>
    <w:p w:rsidR="00C33539" w:rsidRDefault="00C33539" w:rsidP="00C33539">
      <w:pPr>
        <w:rPr>
          <w:lang w:eastAsia="ar-SA"/>
        </w:rPr>
      </w:pPr>
      <w:r>
        <w:rPr>
          <w:lang w:eastAsia="ar-SA"/>
        </w:rPr>
        <w:t>б)</w:t>
      </w:r>
      <w:r>
        <w:rPr>
          <w:lang w:eastAsia="ar-SA"/>
        </w:rPr>
        <w:tab/>
        <w:t>Протокол 38В към Споразумение относно Финансовия механизъм на ЕИП 2014-2021 към Споразумението между Европейския съюз, Исландия, Княжество Лихтенщайн и Кралство Норвегия за финансов механизъм на ЕИП 2014-2021;</w:t>
      </w:r>
    </w:p>
    <w:p w:rsidR="00C33539" w:rsidRDefault="00C33539" w:rsidP="00C33539">
      <w:pPr>
        <w:rPr>
          <w:lang w:eastAsia="ar-SA"/>
        </w:rPr>
      </w:pPr>
      <w:r>
        <w:rPr>
          <w:lang w:eastAsia="ar-SA"/>
        </w:rPr>
        <w:t>в)</w:t>
      </w:r>
      <w:r>
        <w:rPr>
          <w:lang w:eastAsia="ar-SA"/>
        </w:rPr>
        <w:tab/>
        <w:t>Регламента за изпълнението на Финансовия механизъм на ЕИП 2014–2021 (Регламента);</w:t>
      </w:r>
    </w:p>
    <w:p w:rsidR="00C33539" w:rsidRDefault="00C33539" w:rsidP="00C33539">
      <w:pPr>
        <w:rPr>
          <w:lang w:eastAsia="ar-SA"/>
        </w:rPr>
      </w:pPr>
      <w:r>
        <w:rPr>
          <w:lang w:eastAsia="ar-SA"/>
        </w:rPr>
        <w:t>г)</w:t>
      </w:r>
      <w:r>
        <w:rPr>
          <w:lang w:eastAsia="ar-SA"/>
        </w:rPr>
        <w:tab/>
        <w:t>Меморандума за разбирателство относно изпълнението на Финансовия механизъм на ЕИП 2014-2021 между Република България и Исландия, Княжество Лихтенщайн и Кралство Норвегия, подписан на 9 декември 2016 г., ратифициран със закон, приет от 43-то Народно събрание на 13 януари 2017 г. (</w:t>
      </w:r>
      <w:proofErr w:type="spellStart"/>
      <w:r>
        <w:rPr>
          <w:lang w:eastAsia="ar-SA"/>
        </w:rPr>
        <w:t>обн</w:t>
      </w:r>
      <w:proofErr w:type="spellEnd"/>
      <w:r>
        <w:rPr>
          <w:lang w:eastAsia="ar-SA"/>
        </w:rPr>
        <w:t>., ДВ, бр. 8 от 2017 г.), (Меморандума);</w:t>
      </w:r>
    </w:p>
    <w:p w:rsidR="00C33539" w:rsidRPr="00624CB2" w:rsidRDefault="00C33539" w:rsidP="00C33539">
      <w:pPr>
        <w:rPr>
          <w:lang w:eastAsia="ar-SA"/>
        </w:rPr>
      </w:pPr>
      <w:r>
        <w:rPr>
          <w:lang w:eastAsia="ar-SA"/>
        </w:rPr>
        <w:t>д)</w:t>
      </w:r>
      <w:r>
        <w:rPr>
          <w:lang w:eastAsia="ar-SA"/>
        </w:rPr>
        <w:tab/>
        <w:t xml:space="preserve">Програмното споразумение между Комитета на Финансовия </w:t>
      </w:r>
      <w:r w:rsidRPr="00A40515">
        <w:rPr>
          <w:lang w:eastAsia="ar-SA"/>
        </w:rPr>
        <w:t>механизъм</w:t>
      </w:r>
      <w:r w:rsidR="009A351B" w:rsidRPr="00A40515">
        <w:rPr>
          <w:lang w:eastAsia="ar-SA"/>
        </w:rPr>
        <w:t xml:space="preserve"> на ЕИП</w:t>
      </w:r>
      <w:r w:rsidRPr="00A40515">
        <w:rPr>
          <w:lang w:eastAsia="ar-SA"/>
        </w:rPr>
        <w:t xml:space="preserve"> и Националното координационно звено на Република България за финансирането на Програма „Възобновяема енергия, енергийна ефективност, енергийна сигурност“, подписано на 21 юни 2018 г.;</w:t>
      </w:r>
    </w:p>
    <w:p w:rsidR="00C33539" w:rsidRPr="003D35CB" w:rsidRDefault="00C33539" w:rsidP="00C33539">
      <w:pPr>
        <w:rPr>
          <w:lang w:eastAsia="ar-SA"/>
        </w:rPr>
      </w:pPr>
      <w:r w:rsidRPr="00716B4B">
        <w:rPr>
          <w:lang w:eastAsia="ar-SA"/>
        </w:rPr>
        <w:t>е)</w:t>
      </w:r>
      <w:r w:rsidRPr="00716B4B">
        <w:rPr>
          <w:lang w:eastAsia="ar-SA"/>
        </w:rPr>
        <w:tab/>
        <w:t>Споразумението за изпълнение на Програма „Възобновяема енергия, енергийна ефективност, енергийна сигурност“ между Националното координационно звено и Министерството на енергетиката, под</w:t>
      </w:r>
      <w:r w:rsidRPr="003D35CB">
        <w:rPr>
          <w:lang w:eastAsia="ar-SA"/>
        </w:rPr>
        <w:t>писано на 27 юли 2018 г.;</w:t>
      </w:r>
    </w:p>
    <w:p w:rsidR="00C33539" w:rsidRPr="00624CB2" w:rsidRDefault="00C33539" w:rsidP="00C33539">
      <w:pPr>
        <w:rPr>
          <w:lang w:eastAsia="ar-SA"/>
        </w:rPr>
      </w:pPr>
      <w:r w:rsidRPr="00D23691">
        <w:rPr>
          <w:lang w:eastAsia="ar-SA"/>
        </w:rPr>
        <w:t>ж)</w:t>
      </w:r>
      <w:r w:rsidRPr="00D23691">
        <w:rPr>
          <w:lang w:eastAsia="ar-SA"/>
        </w:rPr>
        <w:tab/>
        <w:t>Споразумението относно изпълнението на Фонда за двустранни отношения</w:t>
      </w:r>
      <w:r w:rsidR="009A351B" w:rsidRPr="00A40515">
        <w:rPr>
          <w:lang w:eastAsia="ar-SA"/>
        </w:rPr>
        <w:t>,</w:t>
      </w:r>
      <w:r w:rsidRPr="00A40515">
        <w:rPr>
          <w:lang w:eastAsia="ar-SA"/>
        </w:rPr>
        <w:t xml:space="preserve"> подписано на 29.09.2017 г. и Ръководств</w:t>
      </w:r>
      <w:r w:rsidRPr="00624CB2">
        <w:rPr>
          <w:lang w:eastAsia="ar-SA"/>
        </w:rPr>
        <w:t xml:space="preserve">о за двустранните отношения, </w:t>
      </w:r>
      <w:proofErr w:type="spellStart"/>
      <w:r w:rsidRPr="00624CB2">
        <w:rPr>
          <w:lang w:eastAsia="ar-SA"/>
        </w:rPr>
        <w:t>ФМ</w:t>
      </w:r>
      <w:proofErr w:type="spellEnd"/>
      <w:r w:rsidRPr="00624CB2">
        <w:rPr>
          <w:lang w:eastAsia="ar-SA"/>
        </w:rPr>
        <w:t xml:space="preserve"> на ЕИП и Норвежки финансов механизъм 2014 — 2021 г. на Комитета на </w:t>
      </w:r>
      <w:proofErr w:type="spellStart"/>
      <w:r w:rsidRPr="00624CB2">
        <w:rPr>
          <w:lang w:eastAsia="ar-SA"/>
        </w:rPr>
        <w:t>ФМ</w:t>
      </w:r>
      <w:proofErr w:type="spellEnd"/>
      <w:r w:rsidRPr="00624CB2">
        <w:rPr>
          <w:lang w:eastAsia="ar-SA"/>
        </w:rPr>
        <w:t xml:space="preserve">; </w:t>
      </w:r>
    </w:p>
    <w:p w:rsidR="00C33539" w:rsidRPr="00624CB2" w:rsidRDefault="00C33539" w:rsidP="00C33539">
      <w:pPr>
        <w:rPr>
          <w:lang w:eastAsia="ar-SA"/>
        </w:rPr>
      </w:pPr>
      <w:r w:rsidRPr="00624CB2">
        <w:rPr>
          <w:lang w:eastAsia="ar-SA"/>
        </w:rPr>
        <w:lastRenderedPageBreak/>
        <w:t>з)</w:t>
      </w:r>
      <w:r w:rsidRPr="00624CB2">
        <w:rPr>
          <w:lang w:eastAsia="ar-SA"/>
        </w:rPr>
        <w:tab/>
        <w:t xml:space="preserve">Всички насоки (правила, указания и други), приети от Комитета на </w:t>
      </w:r>
      <w:proofErr w:type="spellStart"/>
      <w:r w:rsidRPr="00624CB2">
        <w:rPr>
          <w:lang w:eastAsia="ar-SA"/>
        </w:rPr>
        <w:t>ФМ</w:t>
      </w:r>
      <w:proofErr w:type="spellEnd"/>
      <w:r w:rsidRPr="00624CB2">
        <w:rPr>
          <w:lang w:eastAsia="ar-SA"/>
        </w:rPr>
        <w:t xml:space="preserve"> </w:t>
      </w:r>
      <w:r w:rsidR="009A351B" w:rsidRPr="00A40515">
        <w:rPr>
          <w:lang w:eastAsia="ar-SA"/>
        </w:rPr>
        <w:t xml:space="preserve">на ЕИП </w:t>
      </w:r>
      <w:r w:rsidRPr="00A40515">
        <w:rPr>
          <w:lang w:eastAsia="ar-SA"/>
        </w:rPr>
        <w:t>в съответствие с Регламента;</w:t>
      </w:r>
    </w:p>
    <w:p w:rsidR="00C33539" w:rsidRPr="00624CB2" w:rsidRDefault="00C33539" w:rsidP="00C33539">
      <w:pPr>
        <w:rPr>
          <w:lang w:eastAsia="ar-SA"/>
        </w:rPr>
      </w:pPr>
      <w:r w:rsidRPr="00716B4B">
        <w:rPr>
          <w:lang w:eastAsia="ar-SA"/>
        </w:rPr>
        <w:t>и)</w:t>
      </w:r>
      <w:r w:rsidRPr="00716B4B">
        <w:rPr>
          <w:lang w:eastAsia="ar-SA"/>
        </w:rPr>
        <w:tab/>
        <w:t xml:space="preserve">Допълнителната информация, представена от ПО и одобрена от </w:t>
      </w:r>
      <w:r w:rsidR="009A351B" w:rsidRPr="00A40515">
        <w:rPr>
          <w:lang w:eastAsia="ar-SA"/>
        </w:rPr>
        <w:t xml:space="preserve">Комитета на </w:t>
      </w:r>
      <w:proofErr w:type="spellStart"/>
      <w:r w:rsidR="009A351B" w:rsidRPr="00A40515">
        <w:rPr>
          <w:lang w:eastAsia="ar-SA"/>
        </w:rPr>
        <w:t>ФМ</w:t>
      </w:r>
      <w:proofErr w:type="spellEnd"/>
      <w:r w:rsidRPr="00A40515">
        <w:rPr>
          <w:lang w:eastAsia="ar-SA"/>
        </w:rPr>
        <w:t xml:space="preserve"> </w:t>
      </w:r>
      <w:r w:rsidR="009A351B" w:rsidRPr="00A40515">
        <w:rPr>
          <w:lang w:eastAsia="ar-SA"/>
        </w:rPr>
        <w:t xml:space="preserve">на ЕИП </w:t>
      </w:r>
      <w:r w:rsidRPr="00A40515">
        <w:rPr>
          <w:lang w:eastAsia="ar-SA"/>
        </w:rPr>
        <w:t>като част от Програмното споразумение;</w:t>
      </w:r>
    </w:p>
    <w:p w:rsidR="00C33539" w:rsidRDefault="00C33539" w:rsidP="00C33539">
      <w:pPr>
        <w:rPr>
          <w:lang w:eastAsia="ar-SA"/>
        </w:rPr>
      </w:pPr>
      <w:r>
        <w:rPr>
          <w:lang w:eastAsia="ar-SA"/>
        </w:rPr>
        <w:t>2.</w:t>
      </w:r>
      <w:r>
        <w:rPr>
          <w:lang w:eastAsia="ar-SA"/>
        </w:rPr>
        <w:tab/>
        <w:t>Правото на Европейския съюз в приложимия обхват, включително, но не само:</w:t>
      </w:r>
    </w:p>
    <w:p w:rsidR="00C33539" w:rsidRDefault="00C33539" w:rsidP="00C33539">
      <w:pPr>
        <w:rPr>
          <w:lang w:eastAsia="ar-SA"/>
        </w:rPr>
      </w:pPr>
      <w:r>
        <w:rPr>
          <w:lang w:eastAsia="ar-SA"/>
        </w:rPr>
        <w:t>а) Правото в областта на държавните помощи – Регламенти, Решения, Насоки и други;</w:t>
      </w:r>
    </w:p>
    <w:p w:rsidR="00C33539" w:rsidRDefault="00C33539" w:rsidP="00C33539">
      <w:pPr>
        <w:rPr>
          <w:lang w:eastAsia="ar-SA"/>
        </w:rPr>
      </w:pPr>
      <w:r>
        <w:rPr>
          <w:lang w:eastAsia="ar-SA"/>
        </w:rPr>
        <w:t xml:space="preserve">б) Насоките за определяне на финансови корекции, които да бъдат извършвани от Европейската комисия, спрямо разходите, финансирани от ЕС съгласно принципа на споделено управление, за несъответствие с правилата на обществени поръчки, одобрени с </w:t>
      </w:r>
      <w:r w:rsidR="00997C3B" w:rsidRPr="00997C3B">
        <w:rPr>
          <w:lang w:eastAsia="ar-SA"/>
        </w:rPr>
        <w:t>Решение С (2019) 3452 от 14.05.2019 г.</w:t>
      </w:r>
      <w:r w:rsidR="00997C3B">
        <w:rPr>
          <w:lang w:eastAsia="ar-SA"/>
        </w:rPr>
        <w:t>;</w:t>
      </w:r>
    </w:p>
    <w:p w:rsidR="00C33539" w:rsidRDefault="00C33539" w:rsidP="00C33539">
      <w:pPr>
        <w:rPr>
          <w:lang w:eastAsia="ar-SA"/>
        </w:rPr>
      </w:pPr>
      <w:r>
        <w:rPr>
          <w:lang w:eastAsia="ar-SA"/>
        </w:rPr>
        <w:t>3.</w:t>
      </w:r>
      <w:r>
        <w:rPr>
          <w:lang w:eastAsia="ar-SA"/>
        </w:rPr>
        <w:tab/>
        <w:t>Националното законодателство и подзаконова нормативна уредба в Република България в областта на договорните отношения, административното право и процес, собствеността, уреждане на гражданскоправните спорове, обществените поръчки, държавните помощи, данъчното облагане, счетоводството и други приложими области, включително, но не само:</w:t>
      </w:r>
    </w:p>
    <w:p w:rsidR="00C33539" w:rsidRDefault="00C33539" w:rsidP="00C33539">
      <w:pPr>
        <w:rPr>
          <w:lang w:eastAsia="ar-SA"/>
        </w:rPr>
      </w:pPr>
      <w:r>
        <w:rPr>
          <w:lang w:eastAsia="ar-SA"/>
        </w:rPr>
        <w:t>а) Закона за ратифициране на Меморандума за разбирателство относно изпълнението на Финансовия механизъм на Европейското икономическо пространство 2014 – 2021 г. между Република България и Република Исландия, Княжество Лихтенщайн и Кралство Норвегия;</w:t>
      </w:r>
    </w:p>
    <w:p w:rsidR="00C33539" w:rsidRDefault="00C33539" w:rsidP="00C33539">
      <w:pPr>
        <w:rPr>
          <w:lang w:eastAsia="ar-SA"/>
        </w:rPr>
      </w:pPr>
      <w:r>
        <w:rPr>
          <w:lang w:eastAsia="ar-SA"/>
        </w:rPr>
        <w:t>б) Закона за данък върху добавената стойност и Правилника за прилагане на Закона за данък върху добавената стойност;</w:t>
      </w:r>
    </w:p>
    <w:p w:rsidR="00C33539" w:rsidRDefault="00C33539" w:rsidP="00C33539">
      <w:pPr>
        <w:rPr>
          <w:lang w:eastAsia="ar-SA"/>
        </w:rPr>
      </w:pPr>
      <w:r>
        <w:rPr>
          <w:lang w:eastAsia="ar-SA"/>
        </w:rPr>
        <w:t>в) Закона за държавните помощи и Правилника за прилагане на Закона за държавните помощи;</w:t>
      </w:r>
    </w:p>
    <w:p w:rsidR="00C33539" w:rsidRDefault="00C33539" w:rsidP="00C33539">
      <w:pPr>
        <w:rPr>
          <w:lang w:eastAsia="ar-SA"/>
        </w:rPr>
      </w:pPr>
      <w:r>
        <w:rPr>
          <w:lang w:eastAsia="ar-SA"/>
        </w:rPr>
        <w:t xml:space="preserve">г) </w:t>
      </w:r>
      <w:proofErr w:type="spellStart"/>
      <w:r>
        <w:rPr>
          <w:lang w:eastAsia="ar-SA"/>
        </w:rPr>
        <w:t>Административнопроцесуалния</w:t>
      </w:r>
      <w:proofErr w:type="spellEnd"/>
      <w:r>
        <w:rPr>
          <w:lang w:eastAsia="ar-SA"/>
        </w:rPr>
        <w:t xml:space="preserve"> кодекс;</w:t>
      </w:r>
    </w:p>
    <w:p w:rsidR="00C33539" w:rsidRDefault="00C33539" w:rsidP="00C33539">
      <w:pPr>
        <w:rPr>
          <w:lang w:eastAsia="ar-SA"/>
        </w:rPr>
      </w:pPr>
      <w:r>
        <w:rPr>
          <w:lang w:eastAsia="ar-SA"/>
        </w:rPr>
        <w:t>д) Закона за обществените поръчки и Правилника за прилагане на Закона за обществените поръчки;</w:t>
      </w:r>
    </w:p>
    <w:p w:rsidR="00C33539" w:rsidRPr="00A40515" w:rsidRDefault="00C33539" w:rsidP="00C33539">
      <w:pPr>
        <w:rPr>
          <w:lang w:eastAsia="ar-SA"/>
        </w:rPr>
      </w:pPr>
      <w:r>
        <w:rPr>
          <w:lang w:eastAsia="ar-SA"/>
        </w:rPr>
        <w:t>е) Закона за публичните финанси, Закона за финансовото управление и контрол в публичния сектор и Закона за вътрешния одит в публичния сектор</w:t>
      </w:r>
      <w:r w:rsidRPr="00A40515">
        <w:rPr>
          <w:lang w:eastAsia="ar-SA"/>
        </w:rPr>
        <w:t xml:space="preserve">, когато </w:t>
      </w:r>
      <w:r w:rsidR="009A351B" w:rsidRPr="00A40515">
        <w:rPr>
          <w:lang w:eastAsia="ar-SA"/>
        </w:rPr>
        <w:t xml:space="preserve">тези закони са приложими за </w:t>
      </w:r>
      <w:r w:rsidRPr="00A40515">
        <w:rPr>
          <w:lang w:eastAsia="ar-SA"/>
        </w:rPr>
        <w:t>Бенефициент</w:t>
      </w:r>
      <w:r w:rsidR="009A351B" w:rsidRPr="00A40515">
        <w:rPr>
          <w:lang w:eastAsia="ar-SA"/>
        </w:rPr>
        <w:t>а</w:t>
      </w:r>
      <w:r w:rsidRPr="00A40515">
        <w:rPr>
          <w:lang w:eastAsia="ar-SA"/>
        </w:rPr>
        <w:t>;</w:t>
      </w:r>
    </w:p>
    <w:p w:rsidR="00C33539" w:rsidRDefault="00C33539" w:rsidP="00C33539">
      <w:pPr>
        <w:rPr>
          <w:lang w:eastAsia="ar-SA"/>
        </w:rPr>
      </w:pPr>
      <w:r>
        <w:rPr>
          <w:lang w:eastAsia="ar-SA"/>
        </w:rPr>
        <w:t>ж) Закона за счетоводството;</w:t>
      </w:r>
    </w:p>
    <w:p w:rsidR="00C33539" w:rsidRDefault="00C33539" w:rsidP="00C33539">
      <w:pPr>
        <w:rPr>
          <w:lang w:eastAsia="ar-SA"/>
        </w:rPr>
      </w:pPr>
      <w:r>
        <w:rPr>
          <w:lang w:eastAsia="ar-SA"/>
        </w:rPr>
        <w:t>3) Наредбата за определяне на условията, реда и механизма за функциониране на информационната система за управление и наблюдение на средствата от европейските структурни и инвестиционни фондове (ИСУН) и за провеждане на производства пред управляващите органи посредством ИСУН;</w:t>
      </w:r>
    </w:p>
    <w:p w:rsidR="00C33539" w:rsidRDefault="00C33539" w:rsidP="00C33539">
      <w:pPr>
        <w:rPr>
          <w:lang w:eastAsia="ar-SA"/>
        </w:rPr>
      </w:pPr>
      <w:r>
        <w:rPr>
          <w:lang w:eastAsia="ar-SA"/>
        </w:rPr>
        <w:t>и) Наредбата за заплатите на служителите в държавната администрация, приета с Постановление № 129 от 2012 г. на Министерския съвет (</w:t>
      </w:r>
      <w:proofErr w:type="spellStart"/>
      <w:r>
        <w:rPr>
          <w:lang w:eastAsia="ar-SA"/>
        </w:rPr>
        <w:t>обн</w:t>
      </w:r>
      <w:proofErr w:type="spellEnd"/>
      <w:r>
        <w:rPr>
          <w:lang w:eastAsia="ar-SA"/>
        </w:rPr>
        <w:t xml:space="preserve">., ДВ, бр. 49 от 2012 г., </w:t>
      </w:r>
      <w:proofErr w:type="spellStart"/>
      <w:r>
        <w:rPr>
          <w:lang w:eastAsia="ar-SA"/>
        </w:rPr>
        <w:t>посл</w:t>
      </w:r>
      <w:proofErr w:type="spellEnd"/>
      <w:r>
        <w:rPr>
          <w:lang w:eastAsia="ar-SA"/>
        </w:rPr>
        <w:t>. изм. и доп., бр. 5 от 2019 г.);</w:t>
      </w:r>
    </w:p>
    <w:p w:rsidR="00C33539" w:rsidRDefault="00C33539" w:rsidP="00C33539">
      <w:pPr>
        <w:rPr>
          <w:lang w:eastAsia="ar-SA"/>
        </w:rPr>
      </w:pPr>
      <w:r>
        <w:rPr>
          <w:lang w:eastAsia="ar-SA"/>
        </w:rPr>
        <w:t>й) Наредбата за командировките в страната, приета с Постановление № 72 от 1986 г. на Министерския съвет (</w:t>
      </w:r>
      <w:proofErr w:type="spellStart"/>
      <w:r>
        <w:rPr>
          <w:lang w:eastAsia="ar-SA"/>
        </w:rPr>
        <w:t>обн</w:t>
      </w:r>
      <w:proofErr w:type="spellEnd"/>
      <w:r>
        <w:rPr>
          <w:lang w:eastAsia="ar-SA"/>
        </w:rPr>
        <w:t xml:space="preserve">., ДВ, бр. 11 от 1987 г., </w:t>
      </w:r>
      <w:proofErr w:type="spellStart"/>
      <w:r>
        <w:rPr>
          <w:lang w:eastAsia="ar-SA"/>
        </w:rPr>
        <w:t>посл</w:t>
      </w:r>
      <w:proofErr w:type="spellEnd"/>
      <w:r>
        <w:rPr>
          <w:lang w:eastAsia="ar-SA"/>
        </w:rPr>
        <w:t>. изм. и доп., бр. 2 от 2011 г.);</w:t>
      </w:r>
    </w:p>
    <w:p w:rsidR="00C33539" w:rsidRDefault="00C33539" w:rsidP="00C33539">
      <w:pPr>
        <w:rPr>
          <w:lang w:eastAsia="ar-SA"/>
        </w:rPr>
      </w:pPr>
      <w:r>
        <w:rPr>
          <w:lang w:eastAsia="ar-SA"/>
        </w:rPr>
        <w:t>к) Наредбата за служебните командировки и специализации в чужбина, приета с Постановление № 115 от 2004 г. на Министерския съвет (</w:t>
      </w:r>
      <w:proofErr w:type="spellStart"/>
      <w:r>
        <w:rPr>
          <w:lang w:eastAsia="ar-SA"/>
        </w:rPr>
        <w:t>обн</w:t>
      </w:r>
      <w:proofErr w:type="spellEnd"/>
      <w:r>
        <w:rPr>
          <w:lang w:eastAsia="ar-SA"/>
        </w:rPr>
        <w:t xml:space="preserve">., ДВ, бр. 50 от 2004 г., </w:t>
      </w:r>
      <w:proofErr w:type="spellStart"/>
      <w:r>
        <w:rPr>
          <w:lang w:eastAsia="ar-SA"/>
        </w:rPr>
        <w:t>посл</w:t>
      </w:r>
      <w:proofErr w:type="spellEnd"/>
      <w:r>
        <w:rPr>
          <w:lang w:eastAsia="ar-SA"/>
        </w:rPr>
        <w:t>. изм. и доп., бр. 2 от 2017 г.).</w:t>
      </w:r>
    </w:p>
    <w:p w:rsidR="00C33539" w:rsidRDefault="00C33539" w:rsidP="00C33539">
      <w:pPr>
        <w:rPr>
          <w:lang w:eastAsia="ar-SA"/>
        </w:rPr>
      </w:pPr>
      <w:r>
        <w:rPr>
          <w:lang w:eastAsia="ar-SA"/>
        </w:rPr>
        <w:t>4.</w:t>
      </w:r>
      <w:r>
        <w:rPr>
          <w:lang w:eastAsia="ar-SA"/>
        </w:rPr>
        <w:tab/>
        <w:t>Други приложими национални правила, включително, но не само:</w:t>
      </w:r>
    </w:p>
    <w:p w:rsidR="00C33539" w:rsidRDefault="00C33539" w:rsidP="00C33539">
      <w:pPr>
        <w:rPr>
          <w:lang w:eastAsia="ar-SA"/>
        </w:rPr>
      </w:pPr>
      <w:r>
        <w:rPr>
          <w:lang w:eastAsia="ar-SA"/>
        </w:rPr>
        <w:t>а) Националните счетоводни стандарти, приложими за бюджетните организации;</w:t>
      </w:r>
    </w:p>
    <w:p w:rsidR="00C33539" w:rsidRDefault="00C33539" w:rsidP="00C33539">
      <w:pPr>
        <w:rPr>
          <w:lang w:eastAsia="ar-SA"/>
        </w:rPr>
      </w:pPr>
      <w:r>
        <w:rPr>
          <w:lang w:eastAsia="ar-SA"/>
        </w:rPr>
        <w:t>б) Сметкоплана на бюджетните организации;</w:t>
      </w:r>
    </w:p>
    <w:p w:rsidR="00C33539" w:rsidRDefault="00C33539" w:rsidP="00C33539">
      <w:pPr>
        <w:rPr>
          <w:lang w:eastAsia="ar-SA"/>
        </w:rPr>
      </w:pPr>
      <w:r>
        <w:rPr>
          <w:lang w:eastAsia="ar-SA"/>
        </w:rPr>
        <w:lastRenderedPageBreak/>
        <w:t>в) Указания на Министерство на финансите № 91-00-137 от 24.03.2014 г. относно третиране на данък добавена стойност.</w:t>
      </w:r>
    </w:p>
    <w:p w:rsidR="00647097" w:rsidRPr="007F5255" w:rsidRDefault="00647097" w:rsidP="00062185">
      <w:pPr>
        <w:pStyle w:val="Heading2"/>
      </w:pPr>
      <w:bookmarkStart w:id="4" w:name="_Toc4745705"/>
      <w:r w:rsidRPr="007F5255">
        <w:t>ИНСТИТУЦИОНАЛНА РАМКА</w:t>
      </w:r>
      <w:bookmarkEnd w:id="4"/>
    </w:p>
    <w:p w:rsidR="00647097" w:rsidRPr="007F5255" w:rsidRDefault="00647097" w:rsidP="002F79C8">
      <w:pPr>
        <w:pStyle w:val="Heading3"/>
        <w:rPr>
          <w:sz w:val="18"/>
          <w:szCs w:val="18"/>
          <w:lang w:val="bg-BG"/>
        </w:rPr>
      </w:pPr>
      <w:bookmarkStart w:id="5" w:name="_Toc4745706"/>
      <w:r w:rsidRPr="007F5255">
        <w:rPr>
          <w:sz w:val="18"/>
          <w:szCs w:val="18"/>
          <w:lang w:val="bg-BG"/>
        </w:rPr>
        <w:t>Институционална рамка на ниво страни-донори</w:t>
      </w:r>
      <w:bookmarkEnd w:id="5"/>
    </w:p>
    <w:p w:rsidR="00647097" w:rsidRPr="007F5255" w:rsidRDefault="00647097" w:rsidP="00DA6E42">
      <w:pPr>
        <w:numPr>
          <w:ilvl w:val="0"/>
          <w:numId w:val="6"/>
        </w:numPr>
        <w:rPr>
          <w:b/>
          <w:szCs w:val="18"/>
          <w:lang w:eastAsia="ar-SA"/>
        </w:rPr>
      </w:pPr>
      <w:r w:rsidRPr="007F5255">
        <w:rPr>
          <w:b/>
          <w:szCs w:val="18"/>
          <w:lang w:eastAsia="ar-SA"/>
        </w:rPr>
        <w:t xml:space="preserve">Комитет на </w:t>
      </w:r>
      <w:proofErr w:type="spellStart"/>
      <w:r w:rsidRPr="007F5255">
        <w:rPr>
          <w:b/>
          <w:szCs w:val="18"/>
          <w:lang w:eastAsia="ar-SA"/>
        </w:rPr>
        <w:t>ФМ</w:t>
      </w:r>
      <w:proofErr w:type="spellEnd"/>
      <w:r w:rsidRPr="007F5255">
        <w:rPr>
          <w:b/>
          <w:szCs w:val="18"/>
          <w:lang w:eastAsia="ar-SA"/>
        </w:rPr>
        <w:t xml:space="preserve"> на ЕИП (КФМ)</w:t>
      </w:r>
    </w:p>
    <w:p w:rsidR="00647097" w:rsidRPr="007F5255" w:rsidRDefault="00647097" w:rsidP="00647097">
      <w:pPr>
        <w:rPr>
          <w:szCs w:val="18"/>
          <w:lang w:eastAsia="ar-SA"/>
        </w:rPr>
      </w:pPr>
      <w:r w:rsidRPr="007F5255">
        <w:rPr>
          <w:szCs w:val="18"/>
          <w:lang w:eastAsia="ar-SA"/>
        </w:rPr>
        <w:t>КФМ е органът, който взема решения относно приноса на ЕИП. КФМ е създаден от</w:t>
      </w:r>
      <w:r w:rsidR="0009775C" w:rsidRPr="007F5255">
        <w:rPr>
          <w:szCs w:val="18"/>
          <w:lang w:eastAsia="ar-SA"/>
        </w:rPr>
        <w:t xml:space="preserve"> </w:t>
      </w:r>
      <w:r w:rsidRPr="007F5255">
        <w:rPr>
          <w:szCs w:val="18"/>
          <w:lang w:eastAsia="ar-SA"/>
        </w:rPr>
        <w:t>Постоянния Комитет на държавите от Европейската асоциация за свободна търговия за</w:t>
      </w:r>
      <w:r w:rsidR="0009775C" w:rsidRPr="007F5255">
        <w:rPr>
          <w:szCs w:val="18"/>
          <w:lang w:eastAsia="ar-SA"/>
        </w:rPr>
        <w:t xml:space="preserve"> </w:t>
      </w:r>
      <w:r w:rsidRPr="007F5255">
        <w:rPr>
          <w:szCs w:val="18"/>
          <w:lang w:eastAsia="ar-SA"/>
        </w:rPr>
        <w:t>управление (ЕАСТ) и се състои от представители на Министерствата на външните работи на</w:t>
      </w:r>
      <w:r w:rsidR="0009775C" w:rsidRPr="007F5255">
        <w:rPr>
          <w:szCs w:val="18"/>
          <w:lang w:eastAsia="ar-SA"/>
        </w:rPr>
        <w:t xml:space="preserve"> </w:t>
      </w:r>
      <w:r w:rsidRPr="007F5255">
        <w:rPr>
          <w:szCs w:val="18"/>
          <w:lang w:eastAsia="ar-SA"/>
        </w:rPr>
        <w:t>Кралство Норвегия, Исландия и Княжество Лихтенщайн. Комитетът взема решения за</w:t>
      </w:r>
      <w:r w:rsidR="0009775C" w:rsidRPr="007F5255">
        <w:rPr>
          <w:szCs w:val="18"/>
          <w:lang w:eastAsia="ar-SA"/>
        </w:rPr>
        <w:t xml:space="preserve"> </w:t>
      </w:r>
      <w:r w:rsidRPr="007F5255">
        <w:rPr>
          <w:szCs w:val="18"/>
          <w:lang w:eastAsia="ar-SA"/>
        </w:rPr>
        <w:t>предоставяне на грант, приема Регламент</w:t>
      </w:r>
      <w:r w:rsidR="004F6757" w:rsidRPr="007F5255">
        <w:rPr>
          <w:szCs w:val="18"/>
          <w:lang w:eastAsia="ar-SA"/>
        </w:rPr>
        <w:t>и</w:t>
      </w:r>
      <w:r w:rsidRPr="007F5255">
        <w:rPr>
          <w:szCs w:val="18"/>
          <w:lang w:eastAsia="ar-SA"/>
        </w:rPr>
        <w:t xml:space="preserve"> за изпълнението на </w:t>
      </w:r>
      <w:proofErr w:type="spellStart"/>
      <w:r w:rsidRPr="007F5255">
        <w:rPr>
          <w:szCs w:val="18"/>
          <w:lang w:eastAsia="ar-SA"/>
        </w:rPr>
        <w:t>ФМ</w:t>
      </w:r>
      <w:proofErr w:type="spellEnd"/>
      <w:r w:rsidRPr="007F5255">
        <w:rPr>
          <w:szCs w:val="18"/>
          <w:lang w:eastAsia="ar-SA"/>
        </w:rPr>
        <w:t xml:space="preserve"> на ЕИП 2009-2014 и изменения</w:t>
      </w:r>
      <w:r w:rsidR="0009775C" w:rsidRPr="007F5255">
        <w:rPr>
          <w:szCs w:val="18"/>
          <w:lang w:eastAsia="ar-SA"/>
        </w:rPr>
        <w:t xml:space="preserve"> </w:t>
      </w:r>
      <w:r w:rsidRPr="007F5255">
        <w:rPr>
          <w:szCs w:val="18"/>
          <w:lang w:eastAsia="ar-SA"/>
        </w:rPr>
        <w:t>към тях. При необходимост, Комитетът одобрява допълнителни указания относно управлението и</w:t>
      </w:r>
      <w:r w:rsidR="0009775C" w:rsidRPr="007F5255">
        <w:rPr>
          <w:szCs w:val="18"/>
          <w:lang w:eastAsia="ar-SA"/>
        </w:rPr>
        <w:t xml:space="preserve"> </w:t>
      </w:r>
      <w:r w:rsidRPr="007F5255">
        <w:rPr>
          <w:szCs w:val="18"/>
          <w:lang w:eastAsia="ar-SA"/>
        </w:rPr>
        <w:t>изпълнението на програмата.</w:t>
      </w:r>
    </w:p>
    <w:p w:rsidR="00647097" w:rsidRPr="007F5255" w:rsidRDefault="00647097" w:rsidP="00DA6E42">
      <w:pPr>
        <w:numPr>
          <w:ilvl w:val="0"/>
          <w:numId w:val="6"/>
        </w:numPr>
        <w:rPr>
          <w:b/>
          <w:szCs w:val="18"/>
          <w:lang w:eastAsia="ar-SA"/>
        </w:rPr>
      </w:pPr>
      <w:r w:rsidRPr="007F5255">
        <w:rPr>
          <w:b/>
          <w:szCs w:val="18"/>
          <w:lang w:eastAsia="ar-SA"/>
        </w:rPr>
        <w:t xml:space="preserve">Офис на </w:t>
      </w:r>
      <w:proofErr w:type="spellStart"/>
      <w:r w:rsidRPr="007F5255">
        <w:rPr>
          <w:b/>
          <w:szCs w:val="18"/>
          <w:lang w:eastAsia="ar-SA"/>
        </w:rPr>
        <w:t>ФМ</w:t>
      </w:r>
      <w:proofErr w:type="spellEnd"/>
      <w:r w:rsidRPr="007F5255">
        <w:rPr>
          <w:b/>
          <w:szCs w:val="18"/>
          <w:lang w:eastAsia="ar-SA"/>
        </w:rPr>
        <w:t xml:space="preserve"> (ОФМ)</w:t>
      </w:r>
    </w:p>
    <w:p w:rsidR="00647097" w:rsidRPr="007F5255" w:rsidRDefault="00647097" w:rsidP="00647097">
      <w:pPr>
        <w:rPr>
          <w:szCs w:val="18"/>
          <w:lang w:eastAsia="ar-SA"/>
        </w:rPr>
      </w:pPr>
      <w:r w:rsidRPr="007F5255">
        <w:rPr>
          <w:szCs w:val="18"/>
          <w:lang w:eastAsia="ar-SA"/>
        </w:rPr>
        <w:t xml:space="preserve">Офисът на </w:t>
      </w:r>
      <w:proofErr w:type="spellStart"/>
      <w:r w:rsidRPr="007F5255">
        <w:rPr>
          <w:szCs w:val="18"/>
          <w:lang w:eastAsia="ar-SA"/>
        </w:rPr>
        <w:t>ФМ</w:t>
      </w:r>
      <w:proofErr w:type="spellEnd"/>
      <w:r w:rsidRPr="007F5255">
        <w:rPr>
          <w:szCs w:val="18"/>
          <w:lang w:eastAsia="ar-SA"/>
        </w:rPr>
        <w:t xml:space="preserve"> е органът, който подпомага КФМ в управлението на </w:t>
      </w:r>
      <w:proofErr w:type="spellStart"/>
      <w:r w:rsidR="004F6757" w:rsidRPr="007F5255">
        <w:rPr>
          <w:szCs w:val="18"/>
          <w:lang w:eastAsia="ar-SA"/>
        </w:rPr>
        <w:t>ФМ</w:t>
      </w:r>
      <w:proofErr w:type="spellEnd"/>
      <w:r w:rsidR="0009775C" w:rsidRPr="007F5255">
        <w:rPr>
          <w:szCs w:val="18"/>
          <w:lang w:eastAsia="ar-SA"/>
        </w:rPr>
        <w:t xml:space="preserve"> </w:t>
      </w:r>
      <w:r w:rsidRPr="007F5255">
        <w:rPr>
          <w:szCs w:val="18"/>
          <w:lang w:eastAsia="ar-SA"/>
        </w:rPr>
        <w:t>на ЕИП 20</w:t>
      </w:r>
      <w:r w:rsidR="002825C2" w:rsidRPr="007F5255">
        <w:rPr>
          <w:szCs w:val="18"/>
          <w:lang w:eastAsia="ar-SA"/>
        </w:rPr>
        <w:t>14</w:t>
      </w:r>
      <w:r w:rsidRPr="007F5255">
        <w:rPr>
          <w:szCs w:val="18"/>
          <w:lang w:eastAsia="ar-SA"/>
        </w:rPr>
        <w:t>-20</w:t>
      </w:r>
      <w:r w:rsidR="002825C2" w:rsidRPr="007F5255">
        <w:rPr>
          <w:szCs w:val="18"/>
          <w:lang w:eastAsia="ar-SA"/>
        </w:rPr>
        <w:t>21</w:t>
      </w:r>
      <w:r w:rsidRPr="007F5255">
        <w:rPr>
          <w:szCs w:val="18"/>
          <w:lang w:eastAsia="ar-SA"/>
        </w:rPr>
        <w:t>. ОФМ, който административно е част от ЕАСТ, отговаря за ежедневните</w:t>
      </w:r>
      <w:r w:rsidR="0009775C" w:rsidRPr="007F5255">
        <w:rPr>
          <w:szCs w:val="18"/>
          <w:lang w:eastAsia="ar-SA"/>
        </w:rPr>
        <w:t xml:space="preserve"> </w:t>
      </w:r>
      <w:r w:rsidRPr="007F5255">
        <w:rPr>
          <w:szCs w:val="18"/>
          <w:lang w:eastAsia="ar-SA"/>
        </w:rPr>
        <w:t xml:space="preserve">дейности по изпълнението на </w:t>
      </w:r>
      <w:proofErr w:type="spellStart"/>
      <w:r w:rsidRPr="007F5255">
        <w:rPr>
          <w:szCs w:val="18"/>
          <w:lang w:eastAsia="ar-SA"/>
        </w:rPr>
        <w:t>ФМ</w:t>
      </w:r>
      <w:proofErr w:type="spellEnd"/>
      <w:r w:rsidRPr="007F5255">
        <w:rPr>
          <w:szCs w:val="18"/>
          <w:lang w:eastAsia="ar-SA"/>
        </w:rPr>
        <w:t xml:space="preserve"> на ЕИП 20</w:t>
      </w:r>
      <w:r w:rsidR="002825C2" w:rsidRPr="007F5255">
        <w:rPr>
          <w:szCs w:val="18"/>
          <w:lang w:eastAsia="ar-SA"/>
        </w:rPr>
        <w:t>14</w:t>
      </w:r>
      <w:r w:rsidRPr="007F5255">
        <w:rPr>
          <w:szCs w:val="18"/>
          <w:lang w:eastAsia="ar-SA"/>
        </w:rPr>
        <w:t>-20</w:t>
      </w:r>
      <w:r w:rsidR="002825C2" w:rsidRPr="007F5255">
        <w:rPr>
          <w:szCs w:val="18"/>
          <w:lang w:eastAsia="ar-SA"/>
        </w:rPr>
        <w:t>21</w:t>
      </w:r>
      <w:r w:rsidRPr="007F5255">
        <w:rPr>
          <w:szCs w:val="18"/>
          <w:lang w:eastAsia="ar-SA"/>
        </w:rPr>
        <w:t xml:space="preserve"> от името на КФМ и изпълнява функциите на</w:t>
      </w:r>
      <w:r w:rsidR="0009775C" w:rsidRPr="007F5255">
        <w:rPr>
          <w:szCs w:val="18"/>
          <w:lang w:eastAsia="ar-SA"/>
        </w:rPr>
        <w:t xml:space="preserve"> </w:t>
      </w:r>
      <w:r w:rsidRPr="007F5255">
        <w:rPr>
          <w:szCs w:val="18"/>
          <w:lang w:eastAsia="ar-SA"/>
        </w:rPr>
        <w:t>контактна точка.</w:t>
      </w:r>
    </w:p>
    <w:p w:rsidR="00647097" w:rsidRPr="007F5255" w:rsidRDefault="00647097" w:rsidP="002F79C8">
      <w:pPr>
        <w:pStyle w:val="Heading3"/>
        <w:rPr>
          <w:sz w:val="18"/>
          <w:szCs w:val="18"/>
          <w:lang w:val="bg-BG"/>
        </w:rPr>
      </w:pPr>
      <w:bookmarkStart w:id="6" w:name="_Toc4745707"/>
      <w:r w:rsidRPr="007F5255">
        <w:rPr>
          <w:sz w:val="18"/>
          <w:szCs w:val="18"/>
          <w:lang w:val="bg-BG"/>
        </w:rPr>
        <w:t>Институционална рамка на управление на Финансовия механизъм на Европейското икономическо пространство 20</w:t>
      </w:r>
      <w:r w:rsidR="00422BBE" w:rsidRPr="007F5255">
        <w:rPr>
          <w:sz w:val="18"/>
          <w:szCs w:val="18"/>
          <w:lang w:val="bg-BG"/>
        </w:rPr>
        <w:t>14</w:t>
      </w:r>
      <w:r w:rsidRPr="007F5255">
        <w:rPr>
          <w:sz w:val="18"/>
          <w:szCs w:val="18"/>
          <w:lang w:val="bg-BG"/>
        </w:rPr>
        <w:t>-20</w:t>
      </w:r>
      <w:r w:rsidR="00422BBE" w:rsidRPr="007F5255">
        <w:rPr>
          <w:sz w:val="18"/>
          <w:szCs w:val="18"/>
          <w:lang w:val="bg-BG"/>
        </w:rPr>
        <w:t>21</w:t>
      </w:r>
      <w:r w:rsidRPr="007F5255">
        <w:rPr>
          <w:sz w:val="18"/>
          <w:szCs w:val="18"/>
          <w:lang w:val="bg-BG"/>
        </w:rPr>
        <w:t xml:space="preserve"> на национално ниво</w:t>
      </w:r>
      <w:bookmarkEnd w:id="6"/>
    </w:p>
    <w:p w:rsidR="00647097" w:rsidRPr="007F5255" w:rsidRDefault="00647097" w:rsidP="00DA6E42">
      <w:pPr>
        <w:numPr>
          <w:ilvl w:val="0"/>
          <w:numId w:val="6"/>
        </w:numPr>
        <w:rPr>
          <w:b/>
          <w:szCs w:val="18"/>
          <w:lang w:eastAsia="ar-SA"/>
        </w:rPr>
      </w:pPr>
      <w:r w:rsidRPr="007F5255">
        <w:rPr>
          <w:b/>
          <w:szCs w:val="18"/>
          <w:lang w:eastAsia="ar-SA"/>
        </w:rPr>
        <w:t>Национално координационно звено (НКЗ)</w:t>
      </w:r>
    </w:p>
    <w:p w:rsidR="002825C2" w:rsidRPr="007F5255" w:rsidRDefault="002825C2" w:rsidP="002825C2">
      <w:r w:rsidRPr="007F5255">
        <w:t xml:space="preserve">Дирекция „Централно координационно звено“ в Администрацията на Министерския съвет изпълнява функциите на Национално координационно звено (НКЗ) по </w:t>
      </w:r>
      <w:proofErr w:type="spellStart"/>
      <w:r w:rsidRPr="007F5255">
        <w:t>ФМ</w:t>
      </w:r>
      <w:proofErr w:type="spellEnd"/>
      <w:r w:rsidRPr="007F5255">
        <w:t xml:space="preserve"> на ЕИП 2014 – 2021 г. Директорът на дирекция „Централно координационно звено“ изпълнява функциите на Ръководител</w:t>
      </w:r>
      <w:r w:rsidRPr="007F5255">
        <w:rPr>
          <w:color w:val="C0504D"/>
        </w:rPr>
        <w:t xml:space="preserve"> </w:t>
      </w:r>
      <w:r w:rsidRPr="007F5255">
        <w:t xml:space="preserve">на Националното координационно звено. </w:t>
      </w:r>
    </w:p>
    <w:p w:rsidR="002825C2" w:rsidRPr="007F5255" w:rsidRDefault="002825C2" w:rsidP="002825C2">
      <w:r w:rsidRPr="007F5255">
        <w:t xml:space="preserve">Националното координационно звено носи цялата отговорност за постигане целите на </w:t>
      </w:r>
      <w:proofErr w:type="spellStart"/>
      <w:r w:rsidRPr="007F5255">
        <w:t>ФМ</w:t>
      </w:r>
      <w:proofErr w:type="spellEnd"/>
      <w:r w:rsidRPr="007F5255">
        <w:t xml:space="preserve"> на ЕИП, както и за изпълнението на финансовите механизми в Република България.</w:t>
      </w:r>
    </w:p>
    <w:p w:rsidR="002825C2" w:rsidRPr="007F5255" w:rsidRDefault="002825C2" w:rsidP="002825C2">
      <w:r w:rsidRPr="007F5255">
        <w:t>Националното координационно звено изпълнява и функциите на орган по нередности, съгласно чл. 5.2 от Регламента.</w:t>
      </w:r>
    </w:p>
    <w:p w:rsidR="00647097" w:rsidRPr="007F5255" w:rsidRDefault="00647097" w:rsidP="00DA6E42">
      <w:pPr>
        <w:numPr>
          <w:ilvl w:val="0"/>
          <w:numId w:val="6"/>
        </w:numPr>
        <w:rPr>
          <w:b/>
          <w:szCs w:val="18"/>
          <w:lang w:eastAsia="ar-SA"/>
        </w:rPr>
      </w:pPr>
      <w:r w:rsidRPr="007F5255">
        <w:rPr>
          <w:b/>
          <w:szCs w:val="18"/>
          <w:lang w:eastAsia="ar-SA"/>
        </w:rPr>
        <w:t>Сертифициращ орган (СО)</w:t>
      </w:r>
    </w:p>
    <w:p w:rsidR="00AA4817" w:rsidRPr="007F5255" w:rsidRDefault="00AA4817" w:rsidP="00AA4817">
      <w:pPr>
        <w:rPr>
          <w:szCs w:val="18"/>
          <w:lang w:eastAsia="ar-SA"/>
        </w:rPr>
      </w:pPr>
      <w:r w:rsidRPr="007F5255">
        <w:rPr>
          <w:szCs w:val="18"/>
          <w:lang w:eastAsia="ar-SA"/>
        </w:rPr>
        <w:t xml:space="preserve">Дирекция „Национален фонд“ </w:t>
      </w:r>
      <w:r w:rsidR="009A351B" w:rsidRPr="00A40515">
        <w:rPr>
          <w:szCs w:val="18"/>
          <w:lang w:eastAsia="ar-SA"/>
        </w:rPr>
        <w:t xml:space="preserve">в Министерство на финансите, </w:t>
      </w:r>
      <w:r w:rsidRPr="007F5255">
        <w:rPr>
          <w:szCs w:val="18"/>
          <w:lang w:eastAsia="ar-SA"/>
        </w:rPr>
        <w:t xml:space="preserve">изпълнява функциите на Сертифициращ орган (СО) по програма „Възобновяема енергия, енергийна ефективност, енергийна сигурност“ съгласно Приложение А, Национални системи за управление и контрол от Меморандума за разбирателство по </w:t>
      </w:r>
      <w:proofErr w:type="spellStart"/>
      <w:r w:rsidRPr="007F5255">
        <w:rPr>
          <w:szCs w:val="18"/>
          <w:lang w:eastAsia="ar-SA"/>
        </w:rPr>
        <w:t>ФМ</w:t>
      </w:r>
      <w:proofErr w:type="spellEnd"/>
      <w:r w:rsidRPr="007F5255">
        <w:rPr>
          <w:szCs w:val="18"/>
          <w:lang w:eastAsia="ar-SA"/>
        </w:rPr>
        <w:t xml:space="preserve"> на ЕИП 2014-2021. </w:t>
      </w:r>
    </w:p>
    <w:p w:rsidR="00AA4817" w:rsidRPr="007F5255" w:rsidRDefault="00AA4817" w:rsidP="00AA4817">
      <w:pPr>
        <w:rPr>
          <w:b/>
          <w:szCs w:val="18"/>
          <w:lang w:eastAsia="ar-SA"/>
        </w:rPr>
      </w:pPr>
      <w:r w:rsidRPr="007F5255">
        <w:rPr>
          <w:szCs w:val="18"/>
          <w:lang w:eastAsia="ar-SA"/>
        </w:rPr>
        <w:t xml:space="preserve">Ролята и отговорностите на СО са определени във функционалната характеристика на дирекция „Национален фонд“, както и в процедурния наръчник в съответствие с чл. 5.4 от Регламента за изпълнение на </w:t>
      </w:r>
      <w:proofErr w:type="spellStart"/>
      <w:r w:rsidRPr="007F5255">
        <w:rPr>
          <w:szCs w:val="18"/>
          <w:lang w:eastAsia="ar-SA"/>
        </w:rPr>
        <w:t>ФМ</w:t>
      </w:r>
      <w:proofErr w:type="spellEnd"/>
      <w:r w:rsidRPr="007F5255">
        <w:rPr>
          <w:szCs w:val="18"/>
          <w:lang w:eastAsia="ar-SA"/>
        </w:rPr>
        <w:t xml:space="preserve"> на ЕИП 2014-2021 г.</w:t>
      </w:r>
    </w:p>
    <w:p w:rsidR="00647097" w:rsidRPr="007F5255" w:rsidRDefault="00647097" w:rsidP="0072583F">
      <w:pPr>
        <w:keepNext/>
        <w:numPr>
          <w:ilvl w:val="0"/>
          <w:numId w:val="6"/>
        </w:numPr>
        <w:ind w:left="714" w:hanging="357"/>
        <w:rPr>
          <w:b/>
          <w:szCs w:val="18"/>
          <w:lang w:eastAsia="ar-SA"/>
        </w:rPr>
      </w:pPr>
      <w:r w:rsidRPr="007F5255">
        <w:rPr>
          <w:b/>
          <w:szCs w:val="18"/>
          <w:lang w:eastAsia="ar-SA"/>
        </w:rPr>
        <w:t>Одитен орган (</w:t>
      </w:r>
      <w:proofErr w:type="spellStart"/>
      <w:r w:rsidRPr="007F5255">
        <w:rPr>
          <w:b/>
          <w:szCs w:val="18"/>
          <w:lang w:eastAsia="ar-SA"/>
        </w:rPr>
        <w:t>ОО</w:t>
      </w:r>
      <w:proofErr w:type="spellEnd"/>
      <w:r w:rsidRPr="007F5255">
        <w:rPr>
          <w:b/>
          <w:szCs w:val="18"/>
          <w:lang w:eastAsia="ar-SA"/>
        </w:rPr>
        <w:t>)</w:t>
      </w:r>
    </w:p>
    <w:p w:rsidR="00AA4817" w:rsidRPr="007F5255" w:rsidRDefault="00AA4817" w:rsidP="00AA4817">
      <w:pPr>
        <w:rPr>
          <w:szCs w:val="18"/>
          <w:lang w:eastAsia="ar-SA"/>
        </w:rPr>
      </w:pPr>
      <w:r w:rsidRPr="007F5255">
        <w:rPr>
          <w:szCs w:val="18"/>
          <w:lang w:eastAsia="ar-SA"/>
        </w:rPr>
        <w:t xml:space="preserve">Одитен орган е Изпълнителна агенция „Одит на средствата от ЕС“ (ИА </w:t>
      </w:r>
      <w:proofErr w:type="spellStart"/>
      <w:r w:rsidRPr="007F5255">
        <w:rPr>
          <w:szCs w:val="18"/>
          <w:lang w:eastAsia="ar-SA"/>
        </w:rPr>
        <w:t>ОСЕС</w:t>
      </w:r>
      <w:proofErr w:type="spellEnd"/>
      <w:r w:rsidRPr="007F5255">
        <w:rPr>
          <w:szCs w:val="18"/>
          <w:lang w:eastAsia="ar-SA"/>
        </w:rPr>
        <w:t>) към Министъра на финансите на Р</w:t>
      </w:r>
      <w:r w:rsidR="00C33539">
        <w:rPr>
          <w:szCs w:val="18"/>
          <w:lang w:eastAsia="ar-SA"/>
        </w:rPr>
        <w:t>епублика</w:t>
      </w:r>
      <w:r w:rsidRPr="007F5255">
        <w:rPr>
          <w:szCs w:val="18"/>
          <w:lang w:eastAsia="ar-SA"/>
        </w:rPr>
        <w:t xml:space="preserve"> България. ИА </w:t>
      </w:r>
      <w:proofErr w:type="spellStart"/>
      <w:r w:rsidRPr="007F5255">
        <w:rPr>
          <w:szCs w:val="18"/>
          <w:lang w:eastAsia="ar-SA"/>
        </w:rPr>
        <w:t>ОСЕС</w:t>
      </w:r>
      <w:proofErr w:type="spellEnd"/>
      <w:r w:rsidRPr="007F5255">
        <w:rPr>
          <w:szCs w:val="18"/>
          <w:lang w:eastAsia="ar-SA"/>
        </w:rPr>
        <w:t xml:space="preserve"> е второстепенен бюджетен разпоредител към Министъра на финансите и се управлява от изпълнителен директор.</w:t>
      </w:r>
    </w:p>
    <w:p w:rsidR="00AA4817" w:rsidRPr="007F5255" w:rsidRDefault="00AA4817" w:rsidP="00AA4817">
      <w:pPr>
        <w:rPr>
          <w:szCs w:val="18"/>
          <w:lang w:eastAsia="ar-SA"/>
        </w:rPr>
      </w:pPr>
      <w:r w:rsidRPr="007F5255">
        <w:rPr>
          <w:szCs w:val="18"/>
          <w:lang w:eastAsia="ar-SA"/>
        </w:rPr>
        <w:lastRenderedPageBreak/>
        <w:t xml:space="preserve">ИА </w:t>
      </w:r>
      <w:proofErr w:type="spellStart"/>
      <w:r w:rsidRPr="007F5255">
        <w:rPr>
          <w:szCs w:val="18"/>
          <w:lang w:eastAsia="ar-SA"/>
        </w:rPr>
        <w:t>ОСЕС</w:t>
      </w:r>
      <w:proofErr w:type="spellEnd"/>
      <w:r w:rsidRPr="007F5255">
        <w:rPr>
          <w:szCs w:val="18"/>
          <w:lang w:eastAsia="ar-SA"/>
        </w:rPr>
        <w:t xml:space="preserve"> осъществява одитната си дейност в съответствие с международно признатите одитни стандарти и съгласно националното законодателство, приложимото законодателство на ЕС и международните споразумения за получаване на средства от ЕС,  Регламента за изпълнение на </w:t>
      </w:r>
      <w:proofErr w:type="spellStart"/>
      <w:r w:rsidRPr="007F5255">
        <w:rPr>
          <w:szCs w:val="18"/>
          <w:lang w:eastAsia="ar-SA"/>
        </w:rPr>
        <w:t>ФМ</w:t>
      </w:r>
      <w:proofErr w:type="spellEnd"/>
      <w:r w:rsidRPr="007F5255">
        <w:rPr>
          <w:szCs w:val="18"/>
          <w:lang w:eastAsia="ar-SA"/>
        </w:rPr>
        <w:t xml:space="preserve"> на ЕИП 2014 - 2021 и Меморандума за разбирателство относно изпълнението на </w:t>
      </w:r>
      <w:proofErr w:type="spellStart"/>
      <w:r w:rsidRPr="007F5255">
        <w:rPr>
          <w:szCs w:val="18"/>
          <w:lang w:eastAsia="ar-SA"/>
        </w:rPr>
        <w:t>ФМ</w:t>
      </w:r>
      <w:proofErr w:type="spellEnd"/>
      <w:r w:rsidRPr="007F5255">
        <w:rPr>
          <w:szCs w:val="18"/>
          <w:lang w:eastAsia="ar-SA"/>
        </w:rPr>
        <w:t xml:space="preserve"> на ЕИП 2014 - 2021, по които Република България е страна.</w:t>
      </w:r>
    </w:p>
    <w:p w:rsidR="004318C4" w:rsidRPr="007F5255" w:rsidRDefault="00AA4817" w:rsidP="004318C4">
      <w:pPr>
        <w:rPr>
          <w:szCs w:val="18"/>
          <w:lang w:eastAsia="ar-SA"/>
        </w:rPr>
      </w:pPr>
      <w:r w:rsidRPr="007F5255">
        <w:rPr>
          <w:szCs w:val="18"/>
          <w:lang w:eastAsia="ar-SA"/>
        </w:rPr>
        <w:t>Одитният орган изпълнява задачите, описани в съответните регламенти и по-конкретно по чл. 5.5 и чл. 5.7 от Регламент</w:t>
      </w:r>
      <w:r w:rsidR="00422BBE" w:rsidRPr="007F5255">
        <w:rPr>
          <w:szCs w:val="18"/>
          <w:lang w:eastAsia="ar-SA"/>
        </w:rPr>
        <w:t>а</w:t>
      </w:r>
      <w:r w:rsidRPr="007F5255">
        <w:rPr>
          <w:szCs w:val="18"/>
          <w:lang w:eastAsia="ar-SA"/>
        </w:rPr>
        <w:t xml:space="preserve"> относно изпълнението на </w:t>
      </w:r>
      <w:proofErr w:type="spellStart"/>
      <w:r w:rsidRPr="007F5255">
        <w:rPr>
          <w:szCs w:val="18"/>
          <w:lang w:eastAsia="ar-SA"/>
        </w:rPr>
        <w:t>ФМ</w:t>
      </w:r>
      <w:proofErr w:type="spellEnd"/>
      <w:r w:rsidRPr="007F5255">
        <w:rPr>
          <w:szCs w:val="18"/>
          <w:lang w:eastAsia="ar-SA"/>
        </w:rPr>
        <w:t xml:space="preserve"> на ЕИП 2014 – 2021. </w:t>
      </w:r>
    </w:p>
    <w:bookmarkEnd w:id="1"/>
    <w:p w:rsidR="000D6180" w:rsidRPr="007F5255" w:rsidRDefault="00C33539" w:rsidP="0080251B">
      <w:pPr>
        <w:pStyle w:val="Heading1"/>
        <w:rPr>
          <w:lang w:val="bg-BG"/>
        </w:rPr>
      </w:pPr>
      <w:r>
        <w:rPr>
          <w:lang w:val="bg-BG"/>
        </w:rPr>
        <w:t xml:space="preserve"> </w:t>
      </w:r>
      <w:bookmarkStart w:id="7" w:name="_Toc4745708"/>
      <w:r w:rsidR="00BC6896" w:rsidRPr="007F5255">
        <w:rPr>
          <w:lang w:val="bg-BG"/>
        </w:rPr>
        <w:t>ПРОЦЕДУРА</w:t>
      </w:r>
      <w:r w:rsidR="00845356" w:rsidRPr="007F5255">
        <w:rPr>
          <w:lang w:val="bg-BG"/>
        </w:rPr>
        <w:t xml:space="preserve"> </w:t>
      </w:r>
      <w:r w:rsidR="00E42676" w:rsidRPr="007F5255">
        <w:rPr>
          <w:lang w:val="bg-BG"/>
        </w:rPr>
        <w:t xml:space="preserve">ЗА ПРЕДОСТАВЯНЕ НА БЕЗВЪЗМЕЗДНИ </w:t>
      </w:r>
      <w:r w:rsidR="00FF3F21" w:rsidRPr="007F5255">
        <w:rPr>
          <w:lang w:val="bg-BG"/>
        </w:rPr>
        <w:t xml:space="preserve">ФИНАНСОВИ </w:t>
      </w:r>
      <w:r w:rsidR="00E42676" w:rsidRPr="007F5255">
        <w:rPr>
          <w:lang w:val="bg-BG"/>
        </w:rPr>
        <w:t>СРЕДСТВА</w:t>
      </w:r>
      <w:bookmarkEnd w:id="7"/>
      <w:r w:rsidR="00523804" w:rsidRPr="007F5255">
        <w:rPr>
          <w:lang w:val="bg-BG"/>
        </w:rPr>
        <w:t xml:space="preserve"> </w:t>
      </w:r>
    </w:p>
    <w:p w:rsidR="0002268E" w:rsidRPr="00ED0C4C" w:rsidRDefault="0002268E" w:rsidP="000C5BD6">
      <w:pPr>
        <w:contextualSpacing/>
        <w:rPr>
          <w:lang w:eastAsia="ar-SA"/>
        </w:rPr>
      </w:pPr>
      <w:r w:rsidRPr="0002268E">
        <w:rPr>
          <w:lang w:eastAsia="ar-SA"/>
        </w:rPr>
        <w:t xml:space="preserve">Държавната политика за насърчаване производството и потреблението на електрическа енергия, топлинна енергия и енергия за охлаждане от възобновяеми източници, производството и потреблението на газ от възобновяеми източници, както и производството и потреблението на биогорива и енергия от възобновяеми източници в транспорта, се изпълнява </w:t>
      </w:r>
      <w:r w:rsidR="00684633">
        <w:rPr>
          <w:lang w:eastAsia="ar-SA"/>
        </w:rPr>
        <w:t xml:space="preserve">в съответствие със Закона за енергията от възобновяеми източници </w:t>
      </w:r>
      <w:r w:rsidR="00684633" w:rsidRPr="00ED0C4C">
        <w:rPr>
          <w:lang w:eastAsia="ar-SA"/>
        </w:rPr>
        <w:t>(</w:t>
      </w:r>
      <w:r w:rsidR="00684633">
        <w:rPr>
          <w:lang w:eastAsia="ar-SA"/>
        </w:rPr>
        <w:t>ЗЕВИ</w:t>
      </w:r>
      <w:r w:rsidR="00684633" w:rsidRPr="00ED0C4C">
        <w:rPr>
          <w:lang w:eastAsia="ar-SA"/>
        </w:rPr>
        <w:t>)</w:t>
      </w:r>
      <w:r w:rsidR="00684633">
        <w:rPr>
          <w:lang w:eastAsia="ar-SA"/>
        </w:rPr>
        <w:t xml:space="preserve">. В чл.7 от ЗЕВИ  тази функция е възложена на </w:t>
      </w:r>
      <w:r w:rsidRPr="0002268E">
        <w:rPr>
          <w:lang w:eastAsia="ar-SA"/>
        </w:rPr>
        <w:t xml:space="preserve"> изпълнителния директор на АУЕР</w:t>
      </w:r>
      <w:r>
        <w:rPr>
          <w:lang w:eastAsia="ar-SA"/>
        </w:rPr>
        <w:t>.</w:t>
      </w:r>
      <w:r w:rsidRPr="0002268E">
        <w:t xml:space="preserve"> </w:t>
      </w:r>
      <w:r>
        <w:t>С дейността си АУЕР</w:t>
      </w:r>
      <w:r w:rsidR="00684633">
        <w:t xml:space="preserve"> също така</w:t>
      </w:r>
      <w:r>
        <w:t xml:space="preserve"> </w:t>
      </w:r>
      <w:r w:rsidRPr="0002268E">
        <w:rPr>
          <w:lang w:eastAsia="ar-SA"/>
        </w:rPr>
        <w:t>организира създаването и поддържането на Националната информационна система и контролира актуализирането на данните и поддържането на системата от кметовете на общини;</w:t>
      </w:r>
    </w:p>
    <w:p w:rsidR="0002268E" w:rsidRDefault="0002268E" w:rsidP="000C5BD6">
      <w:pPr>
        <w:contextualSpacing/>
        <w:rPr>
          <w:lang w:eastAsia="ar-SA"/>
        </w:rPr>
      </w:pPr>
      <w:r>
        <w:rPr>
          <w:lang w:eastAsia="ar-SA"/>
        </w:rPr>
        <w:t>В</w:t>
      </w:r>
      <w:r w:rsidRPr="0002268E">
        <w:rPr>
          <w:lang w:eastAsia="ar-SA"/>
        </w:rPr>
        <w:t>ажен източник на енергия от възобновяеми източници</w:t>
      </w:r>
      <w:r>
        <w:rPr>
          <w:lang w:eastAsia="ar-SA"/>
        </w:rPr>
        <w:t xml:space="preserve"> е водната енергия</w:t>
      </w:r>
      <w:r w:rsidR="00077BA8">
        <w:rPr>
          <w:lang w:eastAsia="ar-SA"/>
        </w:rPr>
        <w:t>. За изпълнение</w:t>
      </w:r>
      <w:r w:rsidRPr="0002268E">
        <w:rPr>
          <w:lang w:eastAsia="ar-SA"/>
        </w:rPr>
        <w:t xml:space="preserve"> на държавната политика за насърчаване на нейното производство и потре</w:t>
      </w:r>
      <w:r w:rsidR="00077BA8">
        <w:rPr>
          <w:lang w:eastAsia="ar-SA"/>
        </w:rPr>
        <w:t xml:space="preserve">бление са необходими  </w:t>
      </w:r>
      <w:r w:rsidRPr="0002268E">
        <w:rPr>
          <w:lang w:eastAsia="ar-SA"/>
        </w:rPr>
        <w:t xml:space="preserve"> актуални данни за енергийните източници, за да се вземат информирани решения относно </w:t>
      </w:r>
      <w:r w:rsidR="00077BA8">
        <w:rPr>
          <w:lang w:eastAsia="ar-SA"/>
        </w:rPr>
        <w:t>развитието на хидроенергийния потенциал</w:t>
      </w:r>
      <w:r w:rsidRPr="0002268E">
        <w:rPr>
          <w:lang w:eastAsia="ar-SA"/>
        </w:rPr>
        <w:t>. Във връзка с това е необходимо проучване за осъществимостта на малките водноелектрически централи в съществуващите водоснабдителни системи за оценка на потенциала за производство на енергия.</w:t>
      </w:r>
    </w:p>
    <w:p w:rsidR="00077BA8" w:rsidRDefault="00077BA8" w:rsidP="000C5BD6">
      <w:pPr>
        <w:contextualSpacing/>
        <w:rPr>
          <w:lang w:eastAsia="ar-SA"/>
        </w:rPr>
      </w:pPr>
      <w:r w:rsidRPr="00077BA8">
        <w:rPr>
          <w:lang w:eastAsia="ar-SA"/>
        </w:rPr>
        <w:t>Съгласно чл. 7, ал. 2 т. 4 от ЗЕВИ изпълнителният директор на АУЕР е длъжен да организира извършването на оценки за наличния и прогнозния потенциал на видовете ресурси за производство на енергия от ВИ на територията на страната</w:t>
      </w:r>
      <w:r w:rsidR="00A2279A">
        <w:rPr>
          <w:lang w:eastAsia="ar-SA"/>
        </w:rPr>
        <w:t xml:space="preserve">, което </w:t>
      </w:r>
      <w:r w:rsidRPr="00077BA8">
        <w:rPr>
          <w:lang w:eastAsia="ar-SA"/>
        </w:rPr>
        <w:t>е пряко свързана с целта, обхвата и сферата на дейност на настоящия проект.</w:t>
      </w:r>
    </w:p>
    <w:p w:rsidR="006767AE" w:rsidRPr="00A40515" w:rsidRDefault="009A351B" w:rsidP="006767AE">
      <w:pPr>
        <w:contextualSpacing/>
        <w:rPr>
          <w:i/>
          <w:lang w:eastAsia="ar-SA"/>
        </w:rPr>
      </w:pPr>
      <w:r>
        <w:rPr>
          <w:lang w:eastAsia="ar-SA"/>
        </w:rPr>
        <w:t xml:space="preserve">В </w:t>
      </w:r>
      <w:r w:rsidR="006767AE" w:rsidRPr="00F663EA">
        <w:rPr>
          <w:bCs/>
          <w:lang w:eastAsia="ar-SA"/>
        </w:rPr>
        <w:t>Наредба № РД-16-558 от 8.05.2012 г</w:t>
      </w:r>
      <w:r w:rsidR="006767AE" w:rsidRPr="00F663EA">
        <w:rPr>
          <w:b/>
          <w:bCs/>
          <w:i/>
          <w:lang w:eastAsia="ar-SA"/>
        </w:rPr>
        <w:t xml:space="preserve">. </w:t>
      </w:r>
      <w:r w:rsidR="006767AE" w:rsidRPr="00F663EA">
        <w:rPr>
          <w:bCs/>
          <w:i/>
          <w:lang w:eastAsia="ar-SA"/>
        </w:rPr>
        <w:t xml:space="preserve">за </w:t>
      </w:r>
      <w:r w:rsidR="006767AE" w:rsidRPr="00A40515">
        <w:rPr>
          <w:bCs/>
          <w:i/>
          <w:lang w:eastAsia="ar-SA"/>
        </w:rPr>
        <w:t>набирането и предоставянето на информацията чрез Националната информационна система за потенциала, производството и потреблението на енергия от възобновяеми</w:t>
      </w:r>
      <w:r w:rsidRPr="00A40515">
        <w:rPr>
          <w:bCs/>
          <w:i/>
          <w:lang w:eastAsia="ar-SA"/>
        </w:rPr>
        <w:t xml:space="preserve"> източници в Република България</w:t>
      </w:r>
      <w:r w:rsidR="006767AE" w:rsidRPr="00A40515">
        <w:rPr>
          <w:bCs/>
          <w:i/>
          <w:lang w:eastAsia="ar-SA"/>
        </w:rPr>
        <w:t xml:space="preserve"> </w:t>
      </w:r>
      <w:r w:rsidR="006767AE" w:rsidRPr="00A40515">
        <w:rPr>
          <w:bCs/>
          <w:lang w:eastAsia="ar-SA"/>
        </w:rPr>
        <w:t xml:space="preserve">е </w:t>
      </w:r>
      <w:r w:rsidRPr="00A40515">
        <w:rPr>
          <w:bCs/>
          <w:lang w:eastAsia="ar-SA"/>
        </w:rPr>
        <w:t>регламентирано</w:t>
      </w:r>
      <w:r w:rsidR="006767AE" w:rsidRPr="00A40515">
        <w:rPr>
          <w:bCs/>
          <w:lang w:eastAsia="ar-SA"/>
        </w:rPr>
        <w:t xml:space="preserve"> </w:t>
      </w:r>
      <w:r w:rsidR="006767AE" w:rsidRPr="00A40515">
        <w:rPr>
          <w:lang w:eastAsia="ar-SA"/>
        </w:rPr>
        <w:t>съдържанието и структурата на информацията, свързана с потенциала, производството и</w:t>
      </w:r>
      <w:r w:rsidR="006767AE" w:rsidRPr="00A40515">
        <w:rPr>
          <w:bCs/>
          <w:lang w:eastAsia="ar-SA"/>
        </w:rPr>
        <w:t xml:space="preserve"> </w:t>
      </w:r>
      <w:r w:rsidR="006767AE" w:rsidRPr="00A40515">
        <w:rPr>
          <w:lang w:eastAsia="ar-SA"/>
        </w:rPr>
        <w:t>потреблението в Република България на енергия от възобновяеми източници, включително на биогорива</w:t>
      </w:r>
      <w:r w:rsidR="006767AE" w:rsidRPr="00A40515">
        <w:rPr>
          <w:bCs/>
          <w:lang w:eastAsia="ar-SA"/>
        </w:rPr>
        <w:t xml:space="preserve"> </w:t>
      </w:r>
      <w:r w:rsidR="006767AE" w:rsidRPr="00A40515">
        <w:rPr>
          <w:lang w:eastAsia="ar-SA"/>
        </w:rPr>
        <w:t xml:space="preserve">и енергия от възобновяеми източници в транспорта. </w:t>
      </w:r>
      <w:r w:rsidRPr="00A40515">
        <w:rPr>
          <w:lang w:eastAsia="ar-SA"/>
        </w:rPr>
        <w:t xml:space="preserve">Съгласно </w:t>
      </w:r>
      <w:r w:rsidR="006767AE" w:rsidRPr="00A40515">
        <w:rPr>
          <w:bCs/>
          <w:lang w:eastAsia="ar-SA"/>
        </w:rPr>
        <w:t>Чл. 2. от Наредбата</w:t>
      </w:r>
      <w:r w:rsidR="006767AE" w:rsidRPr="00A40515">
        <w:rPr>
          <w:b/>
          <w:bCs/>
          <w:lang w:eastAsia="ar-SA"/>
        </w:rPr>
        <w:t xml:space="preserve"> </w:t>
      </w:r>
      <w:r w:rsidR="006767AE" w:rsidRPr="00A40515">
        <w:rPr>
          <w:b/>
          <w:bCs/>
          <w:i/>
          <w:lang w:eastAsia="ar-SA"/>
        </w:rPr>
        <w:t>„</w:t>
      </w:r>
      <w:r w:rsidR="006767AE" w:rsidRPr="00A40515">
        <w:rPr>
          <w:i/>
          <w:lang w:eastAsia="ar-SA"/>
        </w:rPr>
        <w:t>Дейността по събиране, обработване, систематизиране, съхраняване и използване на предоставената информация се осъществява от Агенцията за устойчиво енергийно развитие“.</w:t>
      </w:r>
    </w:p>
    <w:p w:rsidR="0086339F" w:rsidRPr="000C5BD6" w:rsidRDefault="00E320CF" w:rsidP="000C5BD6">
      <w:pPr>
        <w:contextualSpacing/>
        <w:rPr>
          <w:lang w:eastAsia="ar-SA"/>
        </w:rPr>
      </w:pPr>
      <w:r w:rsidRPr="00A40515">
        <w:rPr>
          <w:lang w:eastAsia="ar-SA"/>
        </w:rPr>
        <w:t>В рамките на процедурата за отпускане на безвъзмездни средства (наричана по-долу "Процедурата") проектно предложение се представя само</w:t>
      </w:r>
      <w:r w:rsidR="00DE426F" w:rsidRPr="00A40515">
        <w:rPr>
          <w:lang w:eastAsia="ar-SA"/>
        </w:rPr>
        <w:t xml:space="preserve"> от</w:t>
      </w:r>
      <w:r w:rsidRPr="00A40515">
        <w:rPr>
          <w:lang w:eastAsia="ar-SA"/>
        </w:rPr>
        <w:t xml:space="preserve"> </w:t>
      </w:r>
      <w:r w:rsidR="00C33539" w:rsidRPr="00A40515">
        <w:rPr>
          <w:lang w:eastAsia="ar-SA"/>
        </w:rPr>
        <w:t xml:space="preserve">Агенция </w:t>
      </w:r>
      <w:r w:rsidR="000C5BD6" w:rsidRPr="00A40515">
        <w:rPr>
          <w:lang w:eastAsia="ar-SA"/>
        </w:rPr>
        <w:t>за устойчиво енергийно развитие</w:t>
      </w:r>
      <w:r w:rsidR="000C5BD6" w:rsidRPr="00A40515">
        <w:rPr>
          <w:rStyle w:val="Heading1Char"/>
          <w:color w:val="auto"/>
        </w:rPr>
        <w:t xml:space="preserve"> </w:t>
      </w:r>
      <w:r w:rsidR="000C5BD6" w:rsidRPr="00A40515">
        <w:rPr>
          <w:rStyle w:val="Strong"/>
          <w:b w:val="0"/>
        </w:rPr>
        <w:t>(АУЕР)</w:t>
      </w:r>
      <w:r w:rsidRPr="00A40515">
        <w:rPr>
          <w:b/>
          <w:lang w:eastAsia="ar-SA"/>
        </w:rPr>
        <w:t>,</w:t>
      </w:r>
      <w:r w:rsidR="000C5BD6" w:rsidRPr="00A40515">
        <w:rPr>
          <w:lang w:eastAsia="ar-SA"/>
        </w:rPr>
        <w:t xml:space="preserve"> коя</w:t>
      </w:r>
      <w:r w:rsidRPr="00A40515">
        <w:rPr>
          <w:lang w:eastAsia="ar-SA"/>
        </w:rPr>
        <w:t>то е изрично определен</w:t>
      </w:r>
      <w:r w:rsidR="000C5BD6" w:rsidRPr="00A40515">
        <w:rPr>
          <w:lang w:eastAsia="ar-SA"/>
        </w:rPr>
        <w:t>а</w:t>
      </w:r>
      <w:r w:rsidRPr="00A40515">
        <w:rPr>
          <w:lang w:eastAsia="ar-SA"/>
        </w:rPr>
        <w:t xml:space="preserve"> като конкретен бенефициент </w:t>
      </w:r>
      <w:r w:rsidR="00C91DDD" w:rsidRPr="00A40515">
        <w:rPr>
          <w:lang w:eastAsia="ar-SA"/>
        </w:rPr>
        <w:t>по Програма</w:t>
      </w:r>
      <w:r w:rsidRPr="00A40515">
        <w:rPr>
          <w:lang w:eastAsia="ar-SA"/>
        </w:rPr>
        <w:t xml:space="preserve"> </w:t>
      </w:r>
      <w:r w:rsidR="00C91DDD" w:rsidRPr="00A40515">
        <w:rPr>
          <w:lang w:eastAsia="ar-SA"/>
        </w:rPr>
        <w:t xml:space="preserve">„Възобновяема енергия, енергийна ефективност, енергийна сигурност“, </w:t>
      </w:r>
      <w:r w:rsidR="000C5BD6" w:rsidRPr="00A40515">
        <w:rPr>
          <w:lang w:eastAsia="ar-SA"/>
        </w:rPr>
        <w:t xml:space="preserve">по предварително дефиниран проект: „Проучване за осъществимост използването на </w:t>
      </w:r>
      <w:r w:rsidR="00BF6315" w:rsidRPr="00A40515">
        <w:rPr>
          <w:lang w:eastAsia="ar-SA"/>
        </w:rPr>
        <w:t xml:space="preserve">хидроенергийния </w:t>
      </w:r>
      <w:r w:rsidR="000C5BD6" w:rsidRPr="00A40515">
        <w:rPr>
          <w:lang w:eastAsia="ar-SA"/>
        </w:rPr>
        <w:t xml:space="preserve">потенциал в съществуващите системи за водоснабдяване и за повишаване на потенциала </w:t>
      </w:r>
      <w:r w:rsidR="009A351B" w:rsidRPr="00A40515">
        <w:rPr>
          <w:lang w:eastAsia="ar-SA"/>
        </w:rPr>
        <w:t>н</w:t>
      </w:r>
      <w:r w:rsidR="000C5BD6" w:rsidRPr="00A40515">
        <w:rPr>
          <w:lang w:eastAsia="ar-SA"/>
        </w:rPr>
        <w:t xml:space="preserve">а съществуващи </w:t>
      </w:r>
      <w:r w:rsidR="000C5BD6" w:rsidRPr="000C5BD6">
        <w:rPr>
          <w:lang w:eastAsia="ar-SA"/>
        </w:rPr>
        <w:t>малки водноелектрически централи във водоснабдителните системи“</w:t>
      </w:r>
      <w:r w:rsidR="000C5BD6">
        <w:rPr>
          <w:lang w:eastAsia="ar-SA"/>
        </w:rPr>
        <w:t xml:space="preserve">, </w:t>
      </w:r>
      <w:r w:rsidR="00C91DDD" w:rsidRPr="000C5BD6">
        <w:rPr>
          <w:lang w:eastAsia="ar-SA"/>
        </w:rPr>
        <w:t xml:space="preserve">съгласно </w:t>
      </w:r>
      <w:r w:rsidR="00F11B86" w:rsidRPr="000C5BD6">
        <w:rPr>
          <w:lang w:eastAsia="ar-SA"/>
        </w:rPr>
        <w:t xml:space="preserve">Програмно </w:t>
      </w:r>
      <w:r w:rsidR="001B6007" w:rsidRPr="000C5BD6">
        <w:rPr>
          <w:lang w:eastAsia="ar-SA"/>
        </w:rPr>
        <w:t xml:space="preserve">споразумение по </w:t>
      </w:r>
      <w:r w:rsidR="00CD5DD5" w:rsidRPr="000C5BD6">
        <w:rPr>
          <w:lang w:eastAsia="ar-SA"/>
        </w:rPr>
        <w:t xml:space="preserve">Програмата </w:t>
      </w:r>
      <w:r w:rsidR="001B6007" w:rsidRPr="000C5BD6">
        <w:rPr>
          <w:lang w:eastAsia="ar-SA"/>
        </w:rPr>
        <w:t>между НКЗ и КФМ</w:t>
      </w:r>
      <w:r w:rsidRPr="000C5BD6">
        <w:rPr>
          <w:lang w:eastAsia="ar-SA"/>
        </w:rPr>
        <w:t>.</w:t>
      </w:r>
    </w:p>
    <w:p w:rsidR="000D6180" w:rsidRPr="007F5255" w:rsidRDefault="007037DC" w:rsidP="00062185">
      <w:pPr>
        <w:pStyle w:val="Heading2"/>
      </w:pPr>
      <w:bookmarkStart w:id="8" w:name="_Toc4745709"/>
      <w:r w:rsidRPr="007F5255">
        <w:lastRenderedPageBreak/>
        <w:t>ИНДИКАТОРИ</w:t>
      </w:r>
      <w:r w:rsidR="001B6007" w:rsidRPr="007F5255">
        <w:t xml:space="preserve"> И </w:t>
      </w:r>
      <w:r w:rsidR="00FE3503" w:rsidRPr="007F5255">
        <w:t xml:space="preserve">СПЕЦИФИЧНИ ЦЕЛИ НА </w:t>
      </w:r>
      <w:r w:rsidR="001B6007" w:rsidRPr="007F5255">
        <w:t xml:space="preserve">ПРЕДВАРИТЕЛНО </w:t>
      </w:r>
      <w:r w:rsidR="00921468">
        <w:t>ДЕФИНИРАНИЯ</w:t>
      </w:r>
      <w:r w:rsidR="001B6007" w:rsidRPr="007F5255">
        <w:t xml:space="preserve"> ПРОЕКТ</w:t>
      </w:r>
      <w:bookmarkEnd w:id="8"/>
    </w:p>
    <w:p w:rsidR="00DA60E0" w:rsidRPr="007F5255" w:rsidRDefault="00DA60E0" w:rsidP="00DA60E0">
      <w:pPr>
        <w:numPr>
          <w:ilvl w:val="0"/>
          <w:numId w:val="6"/>
        </w:numPr>
        <w:rPr>
          <w:b/>
          <w:szCs w:val="18"/>
          <w:lang w:eastAsia="ar-SA"/>
        </w:rPr>
      </w:pPr>
      <w:r w:rsidRPr="007F5255">
        <w:rPr>
          <w:b/>
          <w:szCs w:val="18"/>
          <w:lang w:eastAsia="ar-SA"/>
        </w:rPr>
        <w:t>Индикатори</w:t>
      </w:r>
    </w:p>
    <w:p w:rsidR="00B322D0" w:rsidRPr="007F5255" w:rsidRDefault="00B322D0" w:rsidP="00B322D0">
      <w:pPr>
        <w:rPr>
          <w:lang w:eastAsia="ar-SA"/>
        </w:rPr>
      </w:pPr>
      <w:r w:rsidRPr="007F5255">
        <w:rPr>
          <w:lang w:eastAsia="ar-SA"/>
        </w:rPr>
        <w:t>За доказване ефективността на дейностите, включени в проектното предложение по настоящата процедура, е необходимо бенефициент</w:t>
      </w:r>
      <w:r w:rsidR="000C5BD6">
        <w:rPr>
          <w:lang w:eastAsia="ar-SA"/>
        </w:rPr>
        <w:t>ът</w:t>
      </w:r>
      <w:r w:rsidRPr="007F5255">
        <w:rPr>
          <w:lang w:eastAsia="ar-SA"/>
        </w:rPr>
        <w:t xml:space="preserve"> да посочи обективно измерими индикатори за изпълнението на проекта, както следва:</w:t>
      </w:r>
    </w:p>
    <w:p w:rsidR="00786466" w:rsidRPr="007F5255" w:rsidRDefault="00786466" w:rsidP="001201FD">
      <w:pPr>
        <w:numPr>
          <w:ilvl w:val="0"/>
          <w:numId w:val="29"/>
        </w:numPr>
        <w:rPr>
          <w:lang w:eastAsia="ar-SA"/>
        </w:rPr>
      </w:pPr>
      <w:r w:rsidRPr="007F5255">
        <w:rPr>
          <w:lang w:eastAsia="ar-SA"/>
        </w:rPr>
        <w:t xml:space="preserve">Изготвено </w:t>
      </w:r>
      <w:r w:rsidR="001201FD" w:rsidRPr="007F5255">
        <w:rPr>
          <w:lang w:eastAsia="ar-SA"/>
        </w:rPr>
        <w:t>проучване за осъществимост относно оползотворяване на хидроенергийния потенциал в съществуващите системи за водоснабдяване и за повишаване на потенциала на съществуващи малки водноелектрически централи във водоснабдителни системи</w:t>
      </w:r>
      <w:r w:rsidRPr="007F5255">
        <w:rPr>
          <w:lang w:eastAsia="ar-SA"/>
        </w:rPr>
        <w:t>;</w:t>
      </w:r>
    </w:p>
    <w:p w:rsidR="00786466" w:rsidRPr="00ED0C4C" w:rsidRDefault="002631BC" w:rsidP="002631BC">
      <w:pPr>
        <w:numPr>
          <w:ilvl w:val="0"/>
          <w:numId w:val="29"/>
        </w:numPr>
        <w:rPr>
          <w:lang w:eastAsia="ar-SA"/>
        </w:rPr>
      </w:pPr>
      <w:r w:rsidRPr="00ED0C4C">
        <w:rPr>
          <w:lang w:eastAsia="ar-SA"/>
        </w:rPr>
        <w:t>Б</w:t>
      </w:r>
      <w:r w:rsidR="009110F0" w:rsidRPr="00ED0C4C">
        <w:rPr>
          <w:lang w:eastAsia="ar-SA"/>
        </w:rPr>
        <w:t>рой експерти, обучени по хидро</w:t>
      </w:r>
      <w:r w:rsidRPr="00ED0C4C">
        <w:rPr>
          <w:lang w:eastAsia="ar-SA"/>
        </w:rPr>
        <w:t>енергия (разпределени по пол)</w:t>
      </w:r>
      <w:r w:rsidR="00786466" w:rsidRPr="00ED0C4C">
        <w:rPr>
          <w:lang w:eastAsia="ar-SA"/>
        </w:rPr>
        <w:t>;</w:t>
      </w:r>
    </w:p>
    <w:p w:rsidR="0017712E" w:rsidRPr="007F5255" w:rsidRDefault="001201FD" w:rsidP="007D68E6">
      <w:pPr>
        <w:numPr>
          <w:ilvl w:val="0"/>
          <w:numId w:val="29"/>
        </w:numPr>
        <w:rPr>
          <w:lang w:eastAsia="ar-SA"/>
        </w:rPr>
      </w:pPr>
      <w:r w:rsidRPr="00ED0C4C">
        <w:rPr>
          <w:lang w:eastAsia="ar-SA"/>
        </w:rPr>
        <w:t xml:space="preserve">Брой на </w:t>
      </w:r>
      <w:r w:rsidR="00F9222D" w:rsidRPr="00ED0C4C">
        <w:rPr>
          <w:lang w:eastAsia="ar-SA"/>
        </w:rPr>
        <w:t>проведени учебни</w:t>
      </w:r>
      <w:r w:rsidRPr="00ED0C4C">
        <w:rPr>
          <w:lang w:eastAsia="ar-SA"/>
        </w:rPr>
        <w:t xml:space="preserve"> курсове за </w:t>
      </w:r>
      <w:r w:rsidR="002631BC" w:rsidRPr="00ED0C4C">
        <w:rPr>
          <w:lang w:eastAsia="ar-SA"/>
        </w:rPr>
        <w:t>хидроенергийни експерти (разпределени по пол)</w:t>
      </w:r>
      <w:r w:rsidR="00A14583">
        <w:rPr>
          <w:lang w:eastAsia="ar-SA"/>
        </w:rPr>
        <w:t>.</w:t>
      </w:r>
    </w:p>
    <w:p w:rsidR="00DA60E0" w:rsidRPr="007F5255" w:rsidRDefault="00DA60E0" w:rsidP="00DA60E0">
      <w:pPr>
        <w:numPr>
          <w:ilvl w:val="0"/>
          <w:numId w:val="6"/>
        </w:numPr>
        <w:rPr>
          <w:b/>
          <w:szCs w:val="18"/>
          <w:lang w:eastAsia="ar-SA"/>
        </w:rPr>
      </w:pPr>
      <w:r w:rsidRPr="007F5255">
        <w:rPr>
          <w:b/>
          <w:szCs w:val="18"/>
          <w:lang w:eastAsia="ar-SA"/>
        </w:rPr>
        <w:t xml:space="preserve">Специфични цели на предварително </w:t>
      </w:r>
      <w:r w:rsidR="00921468">
        <w:rPr>
          <w:b/>
          <w:szCs w:val="18"/>
          <w:lang w:eastAsia="ar-SA"/>
        </w:rPr>
        <w:t>дефинирания</w:t>
      </w:r>
      <w:r w:rsidR="00921468" w:rsidRPr="007F5255">
        <w:rPr>
          <w:b/>
          <w:szCs w:val="18"/>
          <w:lang w:eastAsia="ar-SA"/>
        </w:rPr>
        <w:t xml:space="preserve"> </w:t>
      </w:r>
      <w:r w:rsidRPr="007F5255">
        <w:rPr>
          <w:b/>
          <w:szCs w:val="18"/>
          <w:lang w:eastAsia="ar-SA"/>
        </w:rPr>
        <w:t>проект</w:t>
      </w:r>
    </w:p>
    <w:p w:rsidR="00B322D0" w:rsidRPr="00A40515" w:rsidRDefault="007F5255" w:rsidP="00B322D0">
      <w:pPr>
        <w:rPr>
          <w:lang w:eastAsia="ar-SA"/>
        </w:rPr>
      </w:pPr>
      <w:r w:rsidRPr="007F5255">
        <w:rPr>
          <w:lang w:eastAsia="ar-SA"/>
        </w:rPr>
        <w:t xml:space="preserve">Предварително </w:t>
      </w:r>
      <w:r w:rsidR="00921468">
        <w:rPr>
          <w:lang w:eastAsia="ar-SA"/>
        </w:rPr>
        <w:t>дефинирания</w:t>
      </w:r>
      <w:r w:rsidR="00B87A48">
        <w:rPr>
          <w:lang w:eastAsia="ar-SA"/>
        </w:rPr>
        <w:t>т</w:t>
      </w:r>
      <w:r w:rsidRPr="007F5255">
        <w:rPr>
          <w:lang w:eastAsia="ar-SA"/>
        </w:rPr>
        <w:t xml:space="preserve"> проект</w:t>
      </w:r>
      <w:r>
        <w:rPr>
          <w:lang w:eastAsia="ar-SA"/>
        </w:rPr>
        <w:t xml:space="preserve"> </w:t>
      </w:r>
      <w:r w:rsidR="000F5702">
        <w:rPr>
          <w:lang w:eastAsia="ar-SA"/>
        </w:rPr>
        <w:t>„П</w:t>
      </w:r>
      <w:r w:rsidR="000F5702" w:rsidRPr="000C5BD6">
        <w:rPr>
          <w:lang w:eastAsia="ar-SA"/>
        </w:rPr>
        <w:t xml:space="preserve">роучване за </w:t>
      </w:r>
      <w:r w:rsidR="000F5702" w:rsidRPr="00A40515">
        <w:rPr>
          <w:lang w:eastAsia="ar-SA"/>
        </w:rPr>
        <w:t xml:space="preserve">осъществимост използването на </w:t>
      </w:r>
      <w:r w:rsidR="00163CB4" w:rsidRPr="00A40515">
        <w:rPr>
          <w:lang w:eastAsia="ar-SA"/>
        </w:rPr>
        <w:t xml:space="preserve">хидроенергийния </w:t>
      </w:r>
      <w:r w:rsidR="000F5702" w:rsidRPr="00A40515">
        <w:rPr>
          <w:lang w:eastAsia="ar-SA"/>
        </w:rPr>
        <w:t>потенциал в съществуващите системи за водоснабдяване</w:t>
      </w:r>
      <w:r w:rsidR="009A351B" w:rsidRPr="00A40515">
        <w:rPr>
          <w:lang w:eastAsia="ar-SA"/>
        </w:rPr>
        <w:t xml:space="preserve"> и за повишаване на потенциала н</w:t>
      </w:r>
      <w:r w:rsidR="000F5702" w:rsidRPr="00A40515">
        <w:rPr>
          <w:lang w:eastAsia="ar-SA"/>
        </w:rPr>
        <w:t xml:space="preserve">а съществуващи малки водноелектрически централи във водоснабдителните системи“ </w:t>
      </w:r>
      <w:r w:rsidR="00BA4167" w:rsidRPr="00A40515">
        <w:rPr>
          <w:lang w:eastAsia="ar-SA"/>
        </w:rPr>
        <w:t xml:space="preserve">има за цел да </w:t>
      </w:r>
      <w:r w:rsidR="00B322D0" w:rsidRPr="00A40515">
        <w:rPr>
          <w:lang w:eastAsia="ar-SA"/>
        </w:rPr>
        <w:t>допринесе за по-добро познаване на обектите във водоснабдителните системи, като язовири за напояване и язовири за питейна вода, където съществуват подходящи условия за</w:t>
      </w:r>
      <w:r w:rsidR="00B344EA" w:rsidRPr="00A40515">
        <w:rPr>
          <w:lang w:eastAsia="ar-SA"/>
        </w:rPr>
        <w:t xml:space="preserve"> </w:t>
      </w:r>
      <w:r w:rsidR="00B87A48" w:rsidRPr="00B87A48">
        <w:rPr>
          <w:bCs/>
          <w:lang w:eastAsia="ar-SA"/>
        </w:rPr>
        <w:t>изпълнение на технически и икономически осъществими инвестиции</w:t>
      </w:r>
      <w:r w:rsidR="00B322D0" w:rsidRPr="00A40515">
        <w:rPr>
          <w:lang w:eastAsia="ar-SA"/>
        </w:rPr>
        <w:t>.</w:t>
      </w: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920"/>
      </w:tblGrid>
      <w:tr w:rsidR="00A40515" w:rsidRPr="00A40515" w:rsidTr="00024CD7">
        <w:trPr>
          <w:trHeight w:val="790"/>
        </w:trPr>
        <w:tc>
          <w:tcPr>
            <w:tcW w:w="9920" w:type="dxa"/>
            <w:tcBorders>
              <w:top w:val="single" w:sz="12" w:space="0" w:color="ED7D31"/>
              <w:left w:val="single" w:sz="12" w:space="0" w:color="ED7D31"/>
              <w:bottom w:val="single" w:sz="12" w:space="0" w:color="ED7D31"/>
              <w:right w:val="single" w:sz="12" w:space="0" w:color="ED7D31"/>
            </w:tcBorders>
            <w:vAlign w:val="center"/>
          </w:tcPr>
          <w:p w:rsidR="005806E6" w:rsidRPr="00A40515" w:rsidRDefault="005806E6" w:rsidP="00024CD7">
            <w:pPr>
              <w:rPr>
                <w:b/>
                <w:szCs w:val="18"/>
              </w:rPr>
            </w:pPr>
            <w:r w:rsidRPr="00A40515">
              <w:rPr>
                <w:b/>
                <w:szCs w:val="18"/>
              </w:rPr>
              <w:t>ВАЖНО!</w:t>
            </w:r>
          </w:p>
          <w:p w:rsidR="006A48D1" w:rsidRPr="00A40515" w:rsidRDefault="000A4D30" w:rsidP="00D43065">
            <w:pPr>
              <w:ind w:left="288"/>
              <w:rPr>
                <w:lang w:eastAsia="ar-SA"/>
              </w:rPr>
            </w:pPr>
            <w:r w:rsidRPr="00A40515">
              <w:rPr>
                <w:lang w:eastAsia="ar-SA"/>
              </w:rPr>
              <w:t xml:space="preserve"> </w:t>
            </w:r>
            <w:r w:rsidR="006A48D1" w:rsidRPr="00A40515">
              <w:rPr>
                <w:lang w:eastAsia="ar-SA"/>
              </w:rPr>
              <w:t xml:space="preserve">Изготвеното в резултат от проекта проучване за осъществимост </w:t>
            </w:r>
            <w:r w:rsidR="009D508D" w:rsidRPr="00A40515">
              <w:rPr>
                <w:lang w:eastAsia="ar-SA"/>
              </w:rPr>
              <w:t xml:space="preserve">използването на </w:t>
            </w:r>
            <w:r w:rsidR="00237F64" w:rsidRPr="00A40515">
              <w:rPr>
                <w:lang w:eastAsia="ar-SA"/>
              </w:rPr>
              <w:t xml:space="preserve">хидроенергийния потенциал </w:t>
            </w:r>
            <w:r w:rsidR="009D508D" w:rsidRPr="00A40515">
              <w:rPr>
                <w:lang w:eastAsia="ar-SA"/>
              </w:rPr>
              <w:t xml:space="preserve">в съществуващите системи за водоснабдяване </w:t>
            </w:r>
            <w:r w:rsidR="006A48D1" w:rsidRPr="00A40515">
              <w:rPr>
                <w:lang w:eastAsia="ar-SA"/>
              </w:rPr>
              <w:t>и за повишаване на потенциала на съществуващи малки водноелектрически централи във водоснабдителни системи ще бъде безвъзмездно предоставено на всички заинтересовани страни чрез публикуване на интернет страницата на АУЕР.</w:t>
            </w:r>
          </w:p>
          <w:p w:rsidR="00B8210E" w:rsidRPr="00A40515" w:rsidRDefault="00B8210E" w:rsidP="00D43065">
            <w:pPr>
              <w:ind w:left="288"/>
              <w:rPr>
                <w:lang w:eastAsia="ar-SA"/>
              </w:rPr>
            </w:pPr>
            <w:r w:rsidRPr="00A40515">
              <w:rPr>
                <w:lang w:eastAsia="ar-SA"/>
              </w:rPr>
              <w:t xml:space="preserve">Всички резултати от </w:t>
            </w:r>
            <w:r w:rsidR="00651F20" w:rsidRPr="00A40515">
              <w:rPr>
                <w:lang w:eastAsia="ar-SA"/>
              </w:rPr>
              <w:t xml:space="preserve">изпълнението на проекта не могат да бъдат използвани за икономически </w:t>
            </w:r>
            <w:r w:rsidR="00D43065" w:rsidRPr="00A40515">
              <w:rPr>
                <w:lang w:eastAsia="ar-SA"/>
              </w:rPr>
              <w:t>цели</w:t>
            </w:r>
            <w:r w:rsidR="00651F20" w:rsidRPr="00A40515">
              <w:rPr>
                <w:lang w:eastAsia="ar-SA"/>
              </w:rPr>
              <w:t>, свързани с пазарно предлагане на стоки и услуги.</w:t>
            </w:r>
          </w:p>
          <w:p w:rsidR="000A4D30" w:rsidRPr="00A40515" w:rsidRDefault="000A4D30" w:rsidP="00B114B9">
            <w:pPr>
              <w:ind w:left="288"/>
              <w:rPr>
                <w:highlight w:val="yellow"/>
                <w:lang w:eastAsia="ar-SA"/>
              </w:rPr>
            </w:pPr>
          </w:p>
        </w:tc>
      </w:tr>
    </w:tbl>
    <w:p w:rsidR="005806E6" w:rsidRPr="007F5255" w:rsidRDefault="005806E6" w:rsidP="00B322D0">
      <w:pPr>
        <w:rPr>
          <w:lang w:eastAsia="ar-SA"/>
        </w:rPr>
      </w:pPr>
    </w:p>
    <w:p w:rsidR="000D6180" w:rsidRPr="007F5255" w:rsidRDefault="000D6180" w:rsidP="0080251B">
      <w:pPr>
        <w:pStyle w:val="Heading1"/>
        <w:rPr>
          <w:lang w:val="bg-BG"/>
        </w:rPr>
      </w:pPr>
      <w:bookmarkStart w:id="9" w:name="_Toc4745710"/>
      <w:r w:rsidRPr="007F5255">
        <w:rPr>
          <w:lang w:val="bg-BG"/>
        </w:rPr>
        <w:t>ОБЩИ И ХОРИЗОНТАЛНИ ПРИНЦИПИ</w:t>
      </w:r>
      <w:bookmarkEnd w:id="9"/>
    </w:p>
    <w:p w:rsidR="000D6180" w:rsidRPr="007F5255" w:rsidRDefault="00B629BA" w:rsidP="000D6180">
      <w:pPr>
        <w:rPr>
          <w:szCs w:val="18"/>
          <w:lang w:eastAsia="ar-SA"/>
        </w:rPr>
      </w:pPr>
      <w:r w:rsidRPr="007F5255">
        <w:rPr>
          <w:szCs w:val="18"/>
          <w:lang w:eastAsia="ar-SA"/>
        </w:rPr>
        <w:t xml:space="preserve">Съществуват няколко основни принципа и ценности в рамките на ЕИП 2014-2021 г., включително принципите на добро управление, устойчиво развитие, равенство между половете и </w:t>
      </w:r>
      <w:proofErr w:type="spellStart"/>
      <w:r w:rsidRPr="007F5255">
        <w:rPr>
          <w:szCs w:val="18"/>
          <w:lang w:eastAsia="ar-SA"/>
        </w:rPr>
        <w:t>недискриминация</w:t>
      </w:r>
      <w:proofErr w:type="spellEnd"/>
      <w:r w:rsidRPr="007F5255">
        <w:rPr>
          <w:szCs w:val="18"/>
          <w:lang w:eastAsia="ar-SA"/>
        </w:rPr>
        <w:t xml:space="preserve">, и нулева толерантност към корупцията. Тези хоризонтални принципи са интегрирани в Програма  </w:t>
      </w:r>
      <w:r w:rsidR="001C3579" w:rsidRPr="007F5255">
        <w:rPr>
          <w:szCs w:val="18"/>
          <w:lang w:eastAsia="ar-SA"/>
        </w:rPr>
        <w:t xml:space="preserve">„Възобновяема енергия, енергийна ефективност, енергийна сигурност” </w:t>
      </w:r>
      <w:r w:rsidRPr="007F5255">
        <w:rPr>
          <w:szCs w:val="18"/>
          <w:lang w:eastAsia="ar-SA"/>
        </w:rPr>
        <w:t>и трябва да бъдат следвани в</w:t>
      </w:r>
      <w:r w:rsidR="001C3579" w:rsidRPr="007F5255">
        <w:rPr>
          <w:szCs w:val="18"/>
          <w:lang w:eastAsia="ar-SA"/>
        </w:rPr>
        <w:t>ъв всички</w:t>
      </w:r>
      <w:r w:rsidRPr="007F5255">
        <w:rPr>
          <w:szCs w:val="18"/>
          <w:lang w:eastAsia="ar-SA"/>
        </w:rPr>
        <w:t xml:space="preserve"> проекти.</w:t>
      </w:r>
    </w:p>
    <w:p w:rsidR="000D6180" w:rsidRPr="007F5255" w:rsidRDefault="000D6180" w:rsidP="000D6180">
      <w:pPr>
        <w:rPr>
          <w:szCs w:val="18"/>
          <w:lang w:eastAsia="ar-SA"/>
        </w:rPr>
      </w:pPr>
      <w:r w:rsidRPr="007F5255">
        <w:rPr>
          <w:b/>
          <w:i/>
          <w:szCs w:val="18"/>
          <w:lang w:eastAsia="ar-SA"/>
        </w:rPr>
        <w:t>Прозрачност</w:t>
      </w:r>
      <w:r w:rsidR="00FE3503" w:rsidRPr="007F5255">
        <w:rPr>
          <w:b/>
          <w:i/>
          <w:szCs w:val="18"/>
          <w:lang w:eastAsia="ar-SA"/>
        </w:rPr>
        <w:t>та</w:t>
      </w:r>
      <w:r w:rsidRPr="007F5255">
        <w:rPr>
          <w:szCs w:val="18"/>
          <w:lang w:eastAsia="ar-SA"/>
        </w:rPr>
        <w:t xml:space="preserve"> и откритост</w:t>
      </w:r>
      <w:r w:rsidR="00FE3503" w:rsidRPr="007F5255">
        <w:rPr>
          <w:szCs w:val="18"/>
          <w:lang w:eastAsia="ar-SA"/>
        </w:rPr>
        <w:t>та</w:t>
      </w:r>
      <w:r w:rsidRPr="007F5255">
        <w:rPr>
          <w:szCs w:val="18"/>
          <w:lang w:eastAsia="ar-SA"/>
        </w:rPr>
        <w:t xml:space="preserve"> са от ключово значение за всички дейности за сътрудничество и са задължителни на всички нива.</w:t>
      </w:r>
    </w:p>
    <w:p w:rsidR="000D6180" w:rsidRPr="007F5255" w:rsidRDefault="00FE3503" w:rsidP="000D6180">
      <w:pPr>
        <w:rPr>
          <w:szCs w:val="18"/>
          <w:lang w:eastAsia="ar-SA"/>
        </w:rPr>
      </w:pPr>
      <w:r w:rsidRPr="007F5255">
        <w:rPr>
          <w:b/>
          <w:i/>
          <w:szCs w:val="18"/>
          <w:lang w:eastAsia="ar-SA"/>
        </w:rPr>
        <w:lastRenderedPageBreak/>
        <w:t>П</w:t>
      </w:r>
      <w:r w:rsidR="000D6180" w:rsidRPr="007F5255">
        <w:rPr>
          <w:b/>
          <w:i/>
          <w:szCs w:val="18"/>
          <w:lang w:eastAsia="ar-SA"/>
        </w:rPr>
        <w:t>артньорство</w:t>
      </w:r>
      <w:r w:rsidRPr="007F5255">
        <w:rPr>
          <w:b/>
          <w:i/>
          <w:szCs w:val="18"/>
          <w:lang w:eastAsia="ar-SA"/>
        </w:rPr>
        <w:t>то</w:t>
      </w:r>
      <w:r w:rsidR="000D6180" w:rsidRPr="007F5255">
        <w:rPr>
          <w:b/>
          <w:i/>
          <w:szCs w:val="18"/>
          <w:lang w:eastAsia="ar-SA"/>
        </w:rPr>
        <w:t xml:space="preserve"> и сътрудничество</w:t>
      </w:r>
      <w:r w:rsidRPr="007F5255">
        <w:rPr>
          <w:b/>
          <w:i/>
          <w:szCs w:val="18"/>
          <w:lang w:eastAsia="ar-SA"/>
        </w:rPr>
        <w:t>то</w:t>
      </w:r>
      <w:r w:rsidR="000D6180" w:rsidRPr="007F5255">
        <w:rPr>
          <w:szCs w:val="18"/>
          <w:lang w:eastAsia="ar-SA"/>
        </w:rPr>
        <w:t xml:space="preserve"> между български </w:t>
      </w:r>
      <w:r w:rsidRPr="007F5255">
        <w:rPr>
          <w:szCs w:val="18"/>
          <w:lang w:eastAsia="ar-SA"/>
        </w:rPr>
        <w:t xml:space="preserve">правни субекти </w:t>
      </w:r>
      <w:r w:rsidR="000D6180" w:rsidRPr="007F5255">
        <w:rPr>
          <w:szCs w:val="18"/>
          <w:lang w:eastAsia="ar-SA"/>
        </w:rPr>
        <w:t xml:space="preserve">и </w:t>
      </w:r>
      <w:r w:rsidRPr="007F5255">
        <w:rPr>
          <w:szCs w:val="18"/>
          <w:lang w:eastAsia="ar-SA"/>
        </w:rPr>
        <w:t xml:space="preserve">правни субекти от </w:t>
      </w:r>
      <w:r w:rsidR="00FF3F21" w:rsidRPr="007F5255">
        <w:rPr>
          <w:szCs w:val="18"/>
          <w:lang w:eastAsia="ar-SA"/>
        </w:rPr>
        <w:t>страните</w:t>
      </w:r>
      <w:r w:rsidRPr="007F5255">
        <w:rPr>
          <w:szCs w:val="18"/>
          <w:lang w:eastAsia="ar-SA"/>
        </w:rPr>
        <w:t>-</w:t>
      </w:r>
      <w:r w:rsidR="000D6180" w:rsidRPr="007F5255">
        <w:rPr>
          <w:szCs w:val="18"/>
          <w:lang w:eastAsia="ar-SA"/>
        </w:rPr>
        <w:t>донори са съществен елемент, особено в</w:t>
      </w:r>
      <w:r w:rsidRPr="007F5255">
        <w:rPr>
          <w:szCs w:val="18"/>
          <w:lang w:eastAsia="ar-SA"/>
        </w:rPr>
        <w:t xml:space="preserve"> набелязаните</w:t>
      </w:r>
      <w:r w:rsidR="000D6180" w:rsidRPr="007F5255">
        <w:rPr>
          <w:szCs w:val="18"/>
          <w:lang w:eastAsia="ar-SA"/>
        </w:rPr>
        <w:t xml:space="preserve"> приоритетни области, в ко</w:t>
      </w:r>
      <w:r w:rsidR="007148EE" w:rsidRPr="007F5255">
        <w:rPr>
          <w:szCs w:val="18"/>
          <w:lang w:eastAsia="ar-SA"/>
        </w:rPr>
        <w:t>и</w:t>
      </w:r>
      <w:r w:rsidR="000D6180" w:rsidRPr="007F5255">
        <w:rPr>
          <w:szCs w:val="18"/>
          <w:lang w:eastAsia="ar-SA"/>
        </w:rPr>
        <w:t xml:space="preserve">то </w:t>
      </w:r>
      <w:r w:rsidR="00FF3F21" w:rsidRPr="007F5255">
        <w:rPr>
          <w:szCs w:val="18"/>
          <w:lang w:eastAsia="ar-SA"/>
        </w:rPr>
        <w:t>страните</w:t>
      </w:r>
      <w:r w:rsidR="007148EE" w:rsidRPr="007F5255">
        <w:rPr>
          <w:szCs w:val="18"/>
          <w:lang w:eastAsia="ar-SA"/>
        </w:rPr>
        <w:t>-</w:t>
      </w:r>
      <w:r w:rsidR="000D6180" w:rsidRPr="007F5255">
        <w:rPr>
          <w:szCs w:val="18"/>
          <w:lang w:eastAsia="ar-SA"/>
        </w:rPr>
        <w:t>донори доприн</w:t>
      </w:r>
      <w:r w:rsidR="007148EE" w:rsidRPr="007F5255">
        <w:rPr>
          <w:szCs w:val="18"/>
          <w:lang w:eastAsia="ar-SA"/>
        </w:rPr>
        <w:t>а</w:t>
      </w:r>
      <w:r w:rsidR="000D6180" w:rsidRPr="007F5255">
        <w:rPr>
          <w:szCs w:val="18"/>
          <w:lang w:eastAsia="ar-SA"/>
        </w:rPr>
        <w:t>с</w:t>
      </w:r>
      <w:r w:rsidR="007148EE" w:rsidRPr="007F5255">
        <w:rPr>
          <w:szCs w:val="18"/>
          <w:lang w:eastAsia="ar-SA"/>
        </w:rPr>
        <w:t>я</w:t>
      </w:r>
      <w:r w:rsidR="000D6180" w:rsidRPr="007F5255">
        <w:rPr>
          <w:szCs w:val="18"/>
          <w:lang w:eastAsia="ar-SA"/>
        </w:rPr>
        <w:t xml:space="preserve">т </w:t>
      </w:r>
      <w:r w:rsidR="007148EE" w:rsidRPr="007F5255">
        <w:rPr>
          <w:szCs w:val="18"/>
          <w:lang w:eastAsia="ar-SA"/>
        </w:rPr>
        <w:t xml:space="preserve">с </w:t>
      </w:r>
      <w:r w:rsidR="000D6180" w:rsidRPr="007F5255">
        <w:rPr>
          <w:szCs w:val="18"/>
          <w:lang w:eastAsia="ar-SA"/>
        </w:rPr>
        <w:t>конкретен опит и ноу-хау.</w:t>
      </w:r>
    </w:p>
    <w:p w:rsidR="000D6180" w:rsidRPr="007F5255" w:rsidRDefault="008625E5" w:rsidP="000D6180">
      <w:pPr>
        <w:rPr>
          <w:szCs w:val="18"/>
          <w:lang w:eastAsia="ar-SA"/>
        </w:rPr>
      </w:pPr>
      <w:r w:rsidRPr="007F5255">
        <w:rPr>
          <w:b/>
          <w:i/>
          <w:szCs w:val="18"/>
          <w:lang w:eastAsia="ar-SA"/>
        </w:rPr>
        <w:t>Публичността</w:t>
      </w:r>
      <w:r w:rsidR="000D6180" w:rsidRPr="007F5255">
        <w:rPr>
          <w:szCs w:val="18"/>
          <w:lang w:eastAsia="ar-SA"/>
        </w:rPr>
        <w:t xml:space="preserve"> е важен аспект. Всички страни </w:t>
      </w:r>
      <w:r w:rsidR="007148EE" w:rsidRPr="007F5255">
        <w:rPr>
          <w:szCs w:val="18"/>
          <w:lang w:eastAsia="ar-SA"/>
        </w:rPr>
        <w:t>следва</w:t>
      </w:r>
      <w:r w:rsidR="000D6180" w:rsidRPr="007F5255">
        <w:rPr>
          <w:szCs w:val="18"/>
          <w:lang w:eastAsia="ar-SA"/>
        </w:rPr>
        <w:t xml:space="preserve"> активно да информират </w:t>
      </w:r>
      <w:r w:rsidR="007148EE" w:rsidRPr="007F5255">
        <w:rPr>
          <w:szCs w:val="18"/>
          <w:lang w:eastAsia="ar-SA"/>
        </w:rPr>
        <w:t>относно</w:t>
      </w:r>
      <w:r w:rsidR="000D6180" w:rsidRPr="007F5255">
        <w:rPr>
          <w:szCs w:val="18"/>
          <w:lang w:eastAsia="ar-SA"/>
        </w:rPr>
        <w:t xml:space="preserve"> сътрудничество</w:t>
      </w:r>
      <w:r w:rsidR="007148EE" w:rsidRPr="007F5255">
        <w:rPr>
          <w:szCs w:val="18"/>
          <w:lang w:eastAsia="ar-SA"/>
        </w:rPr>
        <w:t>то си</w:t>
      </w:r>
      <w:r w:rsidR="000D6180" w:rsidRPr="007F5255">
        <w:rPr>
          <w:szCs w:val="18"/>
          <w:lang w:eastAsia="ar-SA"/>
        </w:rPr>
        <w:t>.</w:t>
      </w:r>
    </w:p>
    <w:p w:rsidR="000D6180" w:rsidRPr="007F5255" w:rsidRDefault="007148EE" w:rsidP="000D6180">
      <w:pPr>
        <w:rPr>
          <w:szCs w:val="18"/>
          <w:lang w:eastAsia="ar-SA"/>
        </w:rPr>
      </w:pPr>
      <w:r w:rsidRPr="007F5255">
        <w:rPr>
          <w:szCs w:val="18"/>
          <w:lang w:eastAsia="ar-SA"/>
        </w:rPr>
        <w:t>Необходимо е в</w:t>
      </w:r>
      <w:r w:rsidR="000D6180" w:rsidRPr="007F5255">
        <w:rPr>
          <w:szCs w:val="18"/>
          <w:lang w:eastAsia="ar-SA"/>
        </w:rPr>
        <w:t xml:space="preserve">сички </w:t>
      </w:r>
      <w:r w:rsidRPr="007F5255">
        <w:rPr>
          <w:szCs w:val="18"/>
          <w:lang w:eastAsia="ar-SA"/>
        </w:rPr>
        <w:t xml:space="preserve">подкрепяни </w:t>
      </w:r>
      <w:r w:rsidR="000D6180" w:rsidRPr="007F5255">
        <w:rPr>
          <w:szCs w:val="18"/>
          <w:lang w:eastAsia="ar-SA"/>
        </w:rPr>
        <w:t>инициативи да насърчава</w:t>
      </w:r>
      <w:r w:rsidRPr="007F5255">
        <w:rPr>
          <w:szCs w:val="18"/>
          <w:lang w:eastAsia="ar-SA"/>
        </w:rPr>
        <w:t>т</w:t>
      </w:r>
      <w:r w:rsidR="000D6180" w:rsidRPr="007F5255">
        <w:rPr>
          <w:szCs w:val="18"/>
          <w:lang w:eastAsia="ar-SA"/>
        </w:rPr>
        <w:t xml:space="preserve"> следните </w:t>
      </w:r>
      <w:r w:rsidRPr="007F5255">
        <w:rPr>
          <w:szCs w:val="18"/>
          <w:lang w:eastAsia="ar-SA"/>
        </w:rPr>
        <w:t>хоризонтални</w:t>
      </w:r>
      <w:r w:rsidR="000D6180" w:rsidRPr="007F5255">
        <w:rPr>
          <w:szCs w:val="18"/>
          <w:lang w:eastAsia="ar-SA"/>
        </w:rPr>
        <w:t xml:space="preserve"> </w:t>
      </w:r>
      <w:r w:rsidRPr="007F5255">
        <w:rPr>
          <w:szCs w:val="18"/>
          <w:lang w:eastAsia="ar-SA"/>
        </w:rPr>
        <w:t>принципи</w:t>
      </w:r>
      <w:r w:rsidR="000D6180" w:rsidRPr="007F5255">
        <w:rPr>
          <w:szCs w:val="18"/>
          <w:lang w:eastAsia="ar-SA"/>
        </w:rPr>
        <w:t>:</w:t>
      </w:r>
    </w:p>
    <w:p w:rsidR="00F22A70" w:rsidRPr="007F5255" w:rsidRDefault="00F22A70" w:rsidP="00736F65">
      <w:pPr>
        <w:numPr>
          <w:ilvl w:val="0"/>
          <w:numId w:val="2"/>
        </w:numPr>
        <w:rPr>
          <w:szCs w:val="18"/>
          <w:lang w:eastAsia="ar-SA"/>
        </w:rPr>
      </w:pPr>
      <w:r w:rsidRPr="007F5255">
        <w:rPr>
          <w:szCs w:val="18"/>
          <w:lang w:eastAsia="ar-SA"/>
        </w:rPr>
        <w:t xml:space="preserve">да се основават на общите ценности за зачитане на човешкото достойнство, свободата, демокрацията, равенството, върховенството на </w:t>
      </w:r>
      <w:r w:rsidRPr="00A40515">
        <w:rPr>
          <w:szCs w:val="18"/>
          <w:lang w:eastAsia="ar-SA"/>
        </w:rPr>
        <w:t>закона и зачитането на правата на човека,</w:t>
      </w:r>
      <w:r w:rsidRPr="007F5255">
        <w:rPr>
          <w:szCs w:val="18"/>
          <w:lang w:eastAsia="ar-SA"/>
        </w:rPr>
        <w:t xml:space="preserve"> включително правата на лицата, принадлежащи към малцинства.</w:t>
      </w:r>
    </w:p>
    <w:p w:rsidR="000D6180" w:rsidRPr="007F5255" w:rsidRDefault="00736F65" w:rsidP="00CB4824">
      <w:pPr>
        <w:numPr>
          <w:ilvl w:val="0"/>
          <w:numId w:val="2"/>
        </w:numPr>
        <w:rPr>
          <w:szCs w:val="18"/>
          <w:lang w:eastAsia="ar-SA"/>
        </w:rPr>
      </w:pPr>
      <w:r w:rsidRPr="007F5255">
        <w:rPr>
          <w:szCs w:val="18"/>
          <w:lang w:eastAsia="ar-SA"/>
        </w:rPr>
        <w:t>да следват принципите на доброто управление</w:t>
      </w:r>
      <w:r w:rsidR="000D6180" w:rsidRPr="007F5255">
        <w:rPr>
          <w:szCs w:val="18"/>
          <w:lang w:eastAsia="ar-SA"/>
        </w:rPr>
        <w:t xml:space="preserve"> </w:t>
      </w:r>
      <w:r w:rsidR="007148EE" w:rsidRPr="007F5255">
        <w:rPr>
          <w:szCs w:val="18"/>
          <w:lang w:eastAsia="ar-SA"/>
        </w:rPr>
        <w:t>–</w:t>
      </w:r>
      <w:r w:rsidR="000D6180" w:rsidRPr="007F5255">
        <w:rPr>
          <w:szCs w:val="18"/>
          <w:lang w:eastAsia="ar-SA"/>
        </w:rPr>
        <w:t xml:space="preserve"> участие и </w:t>
      </w:r>
      <w:r w:rsidR="007148EE" w:rsidRPr="007F5255">
        <w:rPr>
          <w:szCs w:val="18"/>
          <w:lang w:eastAsia="ar-SA"/>
        </w:rPr>
        <w:t>приобщаване</w:t>
      </w:r>
      <w:r w:rsidR="000D6180" w:rsidRPr="007F5255">
        <w:rPr>
          <w:szCs w:val="18"/>
          <w:lang w:eastAsia="ar-SA"/>
        </w:rPr>
        <w:t xml:space="preserve"> на всички заинтересовани страни в различните фази на развитие и изпълнение на проекти</w:t>
      </w:r>
      <w:r w:rsidR="007148EE" w:rsidRPr="007F5255">
        <w:rPr>
          <w:szCs w:val="18"/>
          <w:lang w:eastAsia="ar-SA"/>
        </w:rPr>
        <w:t>те</w:t>
      </w:r>
      <w:r w:rsidR="000D6180" w:rsidRPr="007F5255">
        <w:rPr>
          <w:szCs w:val="18"/>
          <w:lang w:eastAsia="ar-SA"/>
        </w:rPr>
        <w:t>, включително отчетност, прозрачност, ефективност и ефик</w:t>
      </w:r>
      <w:r w:rsidR="007148EE" w:rsidRPr="007F5255">
        <w:rPr>
          <w:szCs w:val="18"/>
          <w:lang w:eastAsia="ar-SA"/>
        </w:rPr>
        <w:t>асност на проектните дейности</w:t>
      </w:r>
      <w:r w:rsidR="000D6180" w:rsidRPr="007F5255">
        <w:rPr>
          <w:szCs w:val="18"/>
          <w:lang w:eastAsia="ar-SA"/>
        </w:rPr>
        <w:t>;</w:t>
      </w:r>
    </w:p>
    <w:p w:rsidR="000D6180" w:rsidRPr="007F5255" w:rsidRDefault="005530BE" w:rsidP="005530BE">
      <w:pPr>
        <w:numPr>
          <w:ilvl w:val="0"/>
          <w:numId w:val="2"/>
        </w:numPr>
        <w:rPr>
          <w:szCs w:val="18"/>
          <w:lang w:eastAsia="ar-SA"/>
        </w:rPr>
      </w:pPr>
      <w:r w:rsidRPr="007F5255">
        <w:rPr>
          <w:szCs w:val="18"/>
          <w:lang w:eastAsia="ar-SA"/>
        </w:rPr>
        <w:t>да бъдат в съответствие с принципите на устойчивото развитие, дългосрочния икономически растеж, социалното сближаване и опазването на околната среда.</w:t>
      </w:r>
    </w:p>
    <w:p w:rsidR="000D6180" w:rsidRPr="007F5255" w:rsidRDefault="00D9068C" w:rsidP="0080251B">
      <w:pPr>
        <w:pStyle w:val="Heading1"/>
        <w:rPr>
          <w:lang w:val="bg-BG"/>
        </w:rPr>
      </w:pPr>
      <w:bookmarkStart w:id="10" w:name="_Toc4745711"/>
      <w:r w:rsidRPr="007F5255">
        <w:rPr>
          <w:lang w:val="bg-BG"/>
        </w:rPr>
        <w:t>РАЗМЕР НА БЕЗВЪЗМЕЗДНАТА ПОМОЩ</w:t>
      </w:r>
      <w:bookmarkEnd w:id="10"/>
      <w:r w:rsidRPr="007F5255">
        <w:rPr>
          <w:lang w:val="bg-BG"/>
        </w:rPr>
        <w:t xml:space="preserve"> </w:t>
      </w:r>
    </w:p>
    <w:tbl>
      <w:tblPr>
        <w:tblW w:w="0" w:type="auto"/>
        <w:tblInd w:w="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09"/>
        <w:gridCol w:w="2410"/>
        <w:gridCol w:w="2551"/>
      </w:tblGrid>
      <w:tr w:rsidR="00B232AA" w:rsidRPr="007F5255" w:rsidTr="009E5800">
        <w:trPr>
          <w:trHeight w:val="405"/>
        </w:trPr>
        <w:tc>
          <w:tcPr>
            <w:tcW w:w="4509" w:type="dxa"/>
            <w:vAlign w:val="center"/>
          </w:tcPr>
          <w:p w:rsidR="00B232AA" w:rsidRPr="007F5255" w:rsidRDefault="00437758" w:rsidP="009E5800">
            <w:pPr>
              <w:jc w:val="center"/>
              <w:rPr>
                <w:b/>
                <w:i/>
                <w:szCs w:val="18"/>
              </w:rPr>
            </w:pPr>
            <w:r w:rsidRPr="007F5255">
              <w:rPr>
                <w:b/>
                <w:i/>
                <w:szCs w:val="18"/>
              </w:rPr>
              <w:t>Размер на безвъзмезднат</w:t>
            </w:r>
            <w:r w:rsidRPr="007F5255">
              <w:rPr>
                <w:b/>
                <w:i/>
                <w:szCs w:val="18"/>
                <w:lang w:eastAsia="ar-SA"/>
              </w:rPr>
              <w:t>а помощ</w:t>
            </w:r>
          </w:p>
        </w:tc>
        <w:tc>
          <w:tcPr>
            <w:tcW w:w="2410" w:type="dxa"/>
          </w:tcPr>
          <w:p w:rsidR="00B232AA" w:rsidRPr="007F5255" w:rsidRDefault="00437758" w:rsidP="001A08D2">
            <w:pPr>
              <w:jc w:val="center"/>
              <w:rPr>
                <w:b/>
                <w:szCs w:val="18"/>
              </w:rPr>
            </w:pPr>
            <w:r w:rsidRPr="007F5255">
              <w:rPr>
                <w:b/>
                <w:i/>
                <w:szCs w:val="18"/>
              </w:rPr>
              <w:t>Принос от страна на донора – 85</w:t>
            </w:r>
            <w:r w:rsidR="008044DC" w:rsidRPr="007F5255">
              <w:rPr>
                <w:b/>
                <w:i/>
                <w:szCs w:val="18"/>
              </w:rPr>
              <w:t xml:space="preserve"> </w:t>
            </w:r>
            <w:r w:rsidR="00B232AA" w:rsidRPr="007F5255">
              <w:rPr>
                <w:b/>
                <w:i/>
                <w:szCs w:val="18"/>
              </w:rPr>
              <w:t>%</w:t>
            </w:r>
          </w:p>
        </w:tc>
        <w:tc>
          <w:tcPr>
            <w:tcW w:w="2551" w:type="dxa"/>
          </w:tcPr>
          <w:p w:rsidR="00B232AA" w:rsidRPr="007F5255" w:rsidRDefault="000D6180" w:rsidP="00437758">
            <w:pPr>
              <w:jc w:val="center"/>
              <w:rPr>
                <w:b/>
                <w:i/>
                <w:szCs w:val="18"/>
              </w:rPr>
            </w:pPr>
            <w:r w:rsidRPr="007F5255">
              <w:rPr>
                <w:b/>
                <w:i/>
                <w:szCs w:val="18"/>
              </w:rPr>
              <w:t>Национално съфинансиране</w:t>
            </w:r>
            <w:r w:rsidR="00437758" w:rsidRPr="007F5255">
              <w:rPr>
                <w:b/>
                <w:i/>
                <w:szCs w:val="18"/>
              </w:rPr>
              <w:t xml:space="preserve"> –</w:t>
            </w:r>
            <w:r w:rsidR="00B232AA" w:rsidRPr="007F5255">
              <w:rPr>
                <w:b/>
                <w:i/>
                <w:szCs w:val="18"/>
              </w:rPr>
              <w:t xml:space="preserve"> 15%</w:t>
            </w:r>
          </w:p>
        </w:tc>
      </w:tr>
      <w:tr w:rsidR="00B232AA" w:rsidRPr="007F5255" w:rsidTr="006252FB">
        <w:trPr>
          <w:trHeight w:val="465"/>
        </w:trPr>
        <w:tc>
          <w:tcPr>
            <w:tcW w:w="4509" w:type="dxa"/>
          </w:tcPr>
          <w:p w:rsidR="00B232AA" w:rsidRPr="007F5255" w:rsidRDefault="000D6180" w:rsidP="00907DB4">
            <w:pPr>
              <w:jc w:val="left"/>
              <w:rPr>
                <w:b/>
                <w:szCs w:val="18"/>
              </w:rPr>
            </w:pPr>
            <w:r w:rsidRPr="007F5255">
              <w:rPr>
                <w:b/>
                <w:szCs w:val="18"/>
              </w:rPr>
              <w:t>Общ размер:</w:t>
            </w:r>
            <w:r w:rsidR="00B232AA" w:rsidRPr="007F5255">
              <w:rPr>
                <w:b/>
                <w:szCs w:val="18"/>
              </w:rPr>
              <w:t xml:space="preserve"> </w:t>
            </w:r>
            <w:r w:rsidR="009F7EDB" w:rsidRPr="007F5255">
              <w:rPr>
                <w:b/>
                <w:szCs w:val="18"/>
              </w:rPr>
              <w:t>684 5</w:t>
            </w:r>
            <w:r w:rsidR="006D352C">
              <w:rPr>
                <w:b/>
                <w:szCs w:val="18"/>
                <w:lang w:val="en-US"/>
              </w:rPr>
              <w:t>4</w:t>
            </w:r>
            <w:r w:rsidR="00907DB4">
              <w:rPr>
                <w:b/>
                <w:szCs w:val="18"/>
                <w:lang w:val="en-US"/>
              </w:rPr>
              <w:t>0</w:t>
            </w:r>
            <w:r w:rsidR="001F0F8A">
              <w:rPr>
                <w:b/>
                <w:szCs w:val="18"/>
                <w:lang w:val="en-US"/>
              </w:rPr>
              <w:t>,50</w:t>
            </w:r>
            <w:r w:rsidR="006252FB" w:rsidRPr="007F5255">
              <w:rPr>
                <w:b/>
                <w:szCs w:val="18"/>
              </w:rPr>
              <w:t xml:space="preserve"> </w:t>
            </w:r>
            <w:r w:rsidR="009F7EDB" w:rsidRPr="007F5255">
              <w:rPr>
                <w:b/>
                <w:szCs w:val="18"/>
              </w:rPr>
              <w:t>лева</w:t>
            </w:r>
          </w:p>
        </w:tc>
        <w:tc>
          <w:tcPr>
            <w:tcW w:w="2410" w:type="dxa"/>
            <w:vAlign w:val="center"/>
          </w:tcPr>
          <w:p w:rsidR="00B232AA" w:rsidRPr="007F5255" w:rsidRDefault="00A40764" w:rsidP="006D352C">
            <w:pPr>
              <w:jc w:val="center"/>
              <w:rPr>
                <w:b/>
                <w:szCs w:val="18"/>
              </w:rPr>
            </w:pPr>
            <w:r w:rsidRPr="007F5255">
              <w:rPr>
                <w:b/>
                <w:szCs w:val="18"/>
              </w:rPr>
              <w:t>581 85</w:t>
            </w:r>
            <w:r w:rsidR="006D352C">
              <w:rPr>
                <w:b/>
                <w:szCs w:val="18"/>
                <w:lang w:val="en-US"/>
              </w:rPr>
              <w:t>9</w:t>
            </w:r>
            <w:r w:rsidR="00DD34D4">
              <w:rPr>
                <w:b/>
                <w:szCs w:val="18"/>
                <w:lang w:val="en-US"/>
              </w:rPr>
              <w:t>,42</w:t>
            </w:r>
            <w:r w:rsidR="00A50DCB" w:rsidRPr="007F5255">
              <w:rPr>
                <w:b/>
                <w:szCs w:val="18"/>
              </w:rPr>
              <w:t xml:space="preserve"> </w:t>
            </w:r>
            <w:r w:rsidRPr="007F5255">
              <w:rPr>
                <w:b/>
                <w:szCs w:val="18"/>
              </w:rPr>
              <w:t>лева</w:t>
            </w:r>
          </w:p>
        </w:tc>
        <w:tc>
          <w:tcPr>
            <w:tcW w:w="2551" w:type="dxa"/>
            <w:vAlign w:val="center"/>
          </w:tcPr>
          <w:p w:rsidR="00B232AA" w:rsidRPr="007F5255" w:rsidRDefault="00A40764" w:rsidP="006D352C">
            <w:pPr>
              <w:jc w:val="center"/>
              <w:rPr>
                <w:b/>
                <w:szCs w:val="18"/>
              </w:rPr>
            </w:pPr>
            <w:r w:rsidRPr="007F5255">
              <w:rPr>
                <w:b/>
                <w:szCs w:val="18"/>
              </w:rPr>
              <w:t>102 68</w:t>
            </w:r>
            <w:r w:rsidR="006D352C">
              <w:rPr>
                <w:b/>
                <w:szCs w:val="18"/>
                <w:lang w:val="en-US"/>
              </w:rPr>
              <w:t>1</w:t>
            </w:r>
            <w:r w:rsidR="00DD34D4">
              <w:rPr>
                <w:b/>
                <w:szCs w:val="18"/>
                <w:lang w:val="en-US"/>
              </w:rPr>
              <w:t>,08</w:t>
            </w:r>
            <w:bookmarkStart w:id="11" w:name="_GoBack"/>
            <w:bookmarkEnd w:id="11"/>
            <w:r w:rsidR="00800E09" w:rsidRPr="007F5255">
              <w:rPr>
                <w:b/>
                <w:szCs w:val="18"/>
              </w:rPr>
              <w:t xml:space="preserve"> </w:t>
            </w:r>
            <w:r w:rsidRPr="007F5255">
              <w:rPr>
                <w:b/>
                <w:szCs w:val="18"/>
              </w:rPr>
              <w:t>лева</w:t>
            </w:r>
          </w:p>
        </w:tc>
      </w:tr>
    </w:tbl>
    <w:p w:rsidR="00F84B55" w:rsidRPr="007F5255" w:rsidRDefault="00F84B55" w:rsidP="00B232AA">
      <w:pPr>
        <w:rPr>
          <w:b/>
          <w:bCs/>
          <w:szCs w:val="18"/>
        </w:rPr>
      </w:pPr>
    </w:p>
    <w:p w:rsidR="00274E61" w:rsidRPr="007F5255" w:rsidRDefault="000F5702" w:rsidP="0054168A">
      <w:pPr>
        <w:pStyle w:val="Heading1"/>
        <w:rPr>
          <w:lang w:val="bg-BG"/>
        </w:rPr>
      </w:pPr>
      <w:bookmarkStart w:id="12" w:name="_Toc4745712"/>
      <w:r>
        <w:rPr>
          <w:lang w:val="bg-BG"/>
        </w:rPr>
        <w:t>ДОПУСТИМ</w:t>
      </w:r>
      <w:r w:rsidR="00430496" w:rsidRPr="007F5255">
        <w:rPr>
          <w:lang w:val="bg-BG"/>
        </w:rPr>
        <w:t xml:space="preserve"> КАНДИДАТ</w:t>
      </w:r>
      <w:bookmarkEnd w:id="12"/>
    </w:p>
    <w:p w:rsidR="009A2EE3" w:rsidRPr="00EF184C" w:rsidRDefault="00C13625" w:rsidP="00C13625">
      <w:pPr>
        <w:rPr>
          <w:lang w:eastAsia="ar-SA"/>
        </w:rPr>
      </w:pPr>
      <w:r w:rsidRPr="00EF184C">
        <w:rPr>
          <w:lang w:eastAsia="ar-SA"/>
        </w:rPr>
        <w:t>Допустим кандидат по настоящат</w:t>
      </w:r>
      <w:r>
        <w:rPr>
          <w:lang w:eastAsia="ar-SA"/>
        </w:rPr>
        <w:t>а процедура е този,</w:t>
      </w:r>
      <w:r w:rsidRPr="00EF184C">
        <w:rPr>
          <w:lang w:eastAsia="ar-SA"/>
        </w:rPr>
        <w:t xml:space="preserve"> </w:t>
      </w:r>
      <w:r>
        <w:rPr>
          <w:lang w:eastAsia="ar-SA"/>
        </w:rPr>
        <w:t xml:space="preserve">който </w:t>
      </w:r>
      <w:r w:rsidRPr="00EF184C">
        <w:rPr>
          <w:lang w:eastAsia="ar-SA"/>
        </w:rPr>
        <w:t>осъществява функциите по провеждане на държавната политика за насърчаване, производството и потреблението на електрическа енергия, топлинна енергия и енергия за охлаждане от възобновяеми източници, производството и потреблението на газ от възобновяеми източници, както и производството и потреблението на биогорива и енергия от възобновяеми източници в транспорта</w:t>
      </w:r>
      <w:r w:rsidRPr="00EF184C" w:rsidDel="00DE0C46">
        <w:rPr>
          <w:lang w:eastAsia="ar-SA"/>
        </w:rPr>
        <w:t xml:space="preserve"> </w:t>
      </w:r>
      <w:r w:rsidRPr="00EF184C">
        <w:rPr>
          <w:lang w:eastAsia="ar-SA"/>
        </w:rPr>
        <w:t>( чл. 7, ал. 1 от Закона за енергията от възобновяеми източници (ЗЕВИ)</w:t>
      </w:r>
      <w:r>
        <w:rPr>
          <w:lang w:eastAsia="ar-SA"/>
        </w:rPr>
        <w:t xml:space="preserve"> и на който е възложено да</w:t>
      </w:r>
      <w:r w:rsidRPr="00EF184C">
        <w:rPr>
          <w:lang w:eastAsia="ar-SA"/>
        </w:rPr>
        <w:t xml:space="preserve"> организира извършването на оценки за наличния и прогнозния потенциал на видовете ресурси за производство на енергия </w:t>
      </w:r>
      <w:r>
        <w:rPr>
          <w:lang w:eastAsia="ar-SA"/>
        </w:rPr>
        <w:t>от ВИ на територията на странат</w:t>
      </w:r>
      <w:r w:rsidR="00D957A7">
        <w:rPr>
          <w:lang w:eastAsia="ar-SA"/>
        </w:rPr>
        <w:t>а,</w:t>
      </w:r>
      <w:r w:rsidR="00D957A7" w:rsidRPr="00D957A7">
        <w:rPr>
          <w:lang w:eastAsia="ar-SA"/>
        </w:rPr>
        <w:t xml:space="preserve"> </w:t>
      </w:r>
      <w:r w:rsidR="00D957A7">
        <w:rPr>
          <w:lang w:eastAsia="ar-SA"/>
        </w:rPr>
        <w:t xml:space="preserve">съгласно </w:t>
      </w:r>
      <w:r w:rsidR="00D957A7" w:rsidRPr="00D957A7">
        <w:rPr>
          <w:lang w:eastAsia="ar-SA"/>
        </w:rPr>
        <w:t>чл. 7, ал. 2 т. 4 от ЗЕВИ</w:t>
      </w:r>
      <w:r w:rsidR="00D957A7">
        <w:rPr>
          <w:lang w:eastAsia="ar-SA"/>
        </w:rPr>
        <w:t>.</w:t>
      </w:r>
    </w:p>
    <w:p w:rsidR="004967AE" w:rsidRPr="007F5255" w:rsidRDefault="004967AE" w:rsidP="004967AE">
      <w:pPr>
        <w:rPr>
          <w:lang w:eastAsia="ar-SA"/>
        </w:rPr>
      </w:pPr>
      <w:r w:rsidRPr="007F5255">
        <w:rPr>
          <w:lang w:eastAsia="ar-SA"/>
        </w:rPr>
        <w:t>Допустим канди</w:t>
      </w:r>
      <w:r w:rsidR="0026393E">
        <w:rPr>
          <w:lang w:eastAsia="ar-SA"/>
        </w:rPr>
        <w:t xml:space="preserve">дат по настоящата процедура е определен в </w:t>
      </w:r>
      <w:r w:rsidRPr="007F5255">
        <w:rPr>
          <w:lang w:eastAsia="ar-SA"/>
        </w:rPr>
        <w:t xml:space="preserve">т. 5, Анекс 2 на Програмно споразумение за финансиране на програма „Възобновяема енергия, енергийна ефективност, енергийна сигурност" е Агенцията за устойчиво енергийно развитие (АУЕР), с </w:t>
      </w:r>
      <w:proofErr w:type="spellStart"/>
      <w:r w:rsidRPr="007F5255">
        <w:rPr>
          <w:lang w:eastAsia="ar-SA"/>
        </w:rPr>
        <w:t>ЕИК</w:t>
      </w:r>
      <w:proofErr w:type="spellEnd"/>
      <w:r w:rsidRPr="007F5255">
        <w:rPr>
          <w:lang w:eastAsia="ar-SA"/>
        </w:rPr>
        <w:t xml:space="preserve">: 121459246. </w:t>
      </w:r>
    </w:p>
    <w:p w:rsidR="00AC3D27" w:rsidRPr="007F5255" w:rsidRDefault="009C78AF" w:rsidP="004967AE">
      <w:pPr>
        <w:pStyle w:val="Heading1"/>
        <w:rPr>
          <w:lang w:val="bg-BG"/>
        </w:rPr>
      </w:pPr>
      <w:bookmarkStart w:id="13" w:name="_Toc4745713"/>
      <w:r w:rsidRPr="007F5255">
        <w:rPr>
          <w:lang w:val="bg-BG"/>
        </w:rPr>
        <w:lastRenderedPageBreak/>
        <w:t>ДОПУСТИМ</w:t>
      </w:r>
      <w:r w:rsidR="00CD3745">
        <w:rPr>
          <w:lang w:val="bg-BG"/>
        </w:rPr>
        <w:t xml:space="preserve"> ПАРТНЬОР</w:t>
      </w:r>
      <w:bookmarkEnd w:id="13"/>
    </w:p>
    <w:p w:rsidR="008F3597" w:rsidRDefault="008F3597" w:rsidP="007A6899">
      <w:pPr>
        <w:rPr>
          <w:lang w:eastAsia="ar-SA"/>
        </w:rPr>
      </w:pPr>
      <w:r w:rsidRPr="008F3597">
        <w:rPr>
          <w:lang w:eastAsia="ar-SA"/>
        </w:rPr>
        <w:t xml:space="preserve">Допустим </w:t>
      </w:r>
      <w:r>
        <w:rPr>
          <w:lang w:eastAsia="ar-SA"/>
        </w:rPr>
        <w:t>партньор</w:t>
      </w:r>
      <w:r w:rsidRPr="008F3597">
        <w:rPr>
          <w:lang w:eastAsia="ar-SA"/>
        </w:rPr>
        <w:t xml:space="preserve"> по настоящият предварително дефиниран проект, съгласно т. 5, Анекс 2 на Програмно</w:t>
      </w:r>
      <w:r>
        <w:rPr>
          <w:lang w:eastAsia="ar-SA"/>
        </w:rPr>
        <w:t>то</w:t>
      </w:r>
      <w:r w:rsidRPr="008F3597">
        <w:rPr>
          <w:lang w:eastAsia="ar-SA"/>
        </w:rPr>
        <w:t xml:space="preserve"> споразумение е </w:t>
      </w:r>
      <w:r w:rsidR="00A35E7E" w:rsidRPr="00A35E7E">
        <w:rPr>
          <w:lang w:eastAsia="ar-SA"/>
        </w:rPr>
        <w:t>Норвежка дирекция „Водни ресурси и енергия“ (</w:t>
      </w:r>
      <w:proofErr w:type="spellStart"/>
      <w:r w:rsidR="00A35E7E" w:rsidRPr="00A35E7E">
        <w:rPr>
          <w:lang w:eastAsia="ar-SA"/>
        </w:rPr>
        <w:t>NVE</w:t>
      </w:r>
      <w:proofErr w:type="spellEnd"/>
      <w:r w:rsidR="00A35E7E" w:rsidRPr="00A35E7E">
        <w:rPr>
          <w:lang w:eastAsia="ar-SA"/>
        </w:rPr>
        <w:t>)</w:t>
      </w:r>
      <w:r w:rsidR="009A2EE3">
        <w:rPr>
          <w:lang w:eastAsia="ar-SA"/>
        </w:rPr>
        <w:t xml:space="preserve"> към</w:t>
      </w:r>
      <w:r w:rsidR="009A2EE3" w:rsidRPr="009A2EE3">
        <w:rPr>
          <w:lang w:eastAsia="ar-SA"/>
        </w:rPr>
        <w:t xml:space="preserve"> </w:t>
      </w:r>
      <w:r w:rsidR="009A2EE3" w:rsidRPr="00F34E2A">
        <w:rPr>
          <w:lang w:eastAsia="ar-SA"/>
        </w:rPr>
        <w:t>Министерство на петрола и енергетиката на Кралство Норвегия</w:t>
      </w:r>
      <w:r w:rsidR="009A2EE3">
        <w:rPr>
          <w:lang w:eastAsia="ar-SA"/>
        </w:rPr>
        <w:t xml:space="preserve"> </w:t>
      </w:r>
      <w:r w:rsidRPr="008F3597">
        <w:rPr>
          <w:lang w:eastAsia="ar-SA"/>
        </w:rPr>
        <w:t xml:space="preserve">. </w:t>
      </w:r>
    </w:p>
    <w:p w:rsidR="007C7209" w:rsidRPr="007F5255" w:rsidRDefault="007C7209" w:rsidP="007C7209">
      <w:pPr>
        <w:pStyle w:val="Heading1"/>
        <w:rPr>
          <w:lang w:val="bg-BG"/>
        </w:rPr>
      </w:pPr>
      <w:bookmarkStart w:id="14" w:name="_Toc4745714"/>
      <w:r w:rsidRPr="007F5255">
        <w:rPr>
          <w:lang w:val="bg-BG"/>
        </w:rPr>
        <w:t>ТЕРИТОРИАЛЕН ОБХВАТ И МЯСТО НА ИЗПЪЛНЕНИЕ</w:t>
      </w:r>
      <w:bookmarkEnd w:id="14"/>
    </w:p>
    <w:p w:rsidR="007C7209" w:rsidRPr="007F5255" w:rsidRDefault="007C7209" w:rsidP="007C7209">
      <w:pPr>
        <w:rPr>
          <w:lang w:eastAsia="ar-SA"/>
        </w:rPr>
      </w:pPr>
      <w:r w:rsidRPr="007F5255">
        <w:rPr>
          <w:lang w:eastAsia="ar-SA"/>
        </w:rPr>
        <w:t>Дейностите по настоящата покана следва да се изпълняват на територията на Република България, а някои – в страните-донори /ако е приложимо/.</w:t>
      </w:r>
    </w:p>
    <w:p w:rsidR="00B83D52" w:rsidRPr="007F5255" w:rsidRDefault="0054168A" w:rsidP="0054168A">
      <w:pPr>
        <w:pStyle w:val="Heading1"/>
        <w:rPr>
          <w:lang w:val="bg-BG"/>
        </w:rPr>
      </w:pPr>
      <w:bookmarkStart w:id="15" w:name="_Toc4745715"/>
      <w:r w:rsidRPr="007F5255">
        <w:rPr>
          <w:lang w:val="bg-BG"/>
        </w:rPr>
        <w:t>ДЕЙНОСТИ, ДОПУСТИМИ ЗА ФИНАНСИРАНЕ</w:t>
      </w:r>
      <w:bookmarkEnd w:id="15"/>
    </w:p>
    <w:p w:rsidR="00106C35" w:rsidRPr="007F5255" w:rsidRDefault="00D37B67" w:rsidP="00106C35">
      <w:pPr>
        <w:pStyle w:val="Heading2"/>
      </w:pPr>
      <w:bookmarkStart w:id="16" w:name="_Toc4745716"/>
      <w:r w:rsidRPr="007F5255">
        <w:t>ДОПУСТИМИ ДЕЙНОСТИ</w:t>
      </w:r>
      <w:bookmarkEnd w:id="16"/>
    </w:p>
    <w:p w:rsidR="007C7209" w:rsidRPr="007F5255" w:rsidRDefault="007C7209" w:rsidP="007C7209">
      <w:pPr>
        <w:numPr>
          <w:ilvl w:val="0"/>
          <w:numId w:val="10"/>
        </w:numPr>
        <w:ind w:left="709" w:hanging="421"/>
        <w:rPr>
          <w:lang w:eastAsia="ar-SA"/>
        </w:rPr>
      </w:pPr>
      <w:r w:rsidRPr="007F5255">
        <w:rPr>
          <w:lang w:eastAsia="ar-SA"/>
        </w:rPr>
        <w:t>Консултантски услуги от страна на партньора от страна</w:t>
      </w:r>
      <w:r w:rsidR="007B07A9">
        <w:rPr>
          <w:lang w:eastAsia="ar-SA"/>
        </w:rPr>
        <w:t>та</w:t>
      </w:r>
      <w:r w:rsidRPr="007F5255">
        <w:rPr>
          <w:lang w:eastAsia="ar-SA"/>
        </w:rPr>
        <w:t>-донор – обмен на опит, знания и най-добри практики на управленско и експертно ниво, обучение;</w:t>
      </w:r>
    </w:p>
    <w:p w:rsidR="007C7209" w:rsidRPr="007F5255" w:rsidRDefault="007C7209" w:rsidP="007C7209">
      <w:pPr>
        <w:numPr>
          <w:ilvl w:val="0"/>
          <w:numId w:val="10"/>
        </w:numPr>
        <w:ind w:left="709" w:hanging="421"/>
        <w:rPr>
          <w:lang w:eastAsia="ar-SA"/>
        </w:rPr>
      </w:pPr>
      <w:r w:rsidRPr="007F5255">
        <w:rPr>
          <w:lang w:eastAsia="ar-SA"/>
        </w:rPr>
        <w:t>Изготвяне на тръжна документация;</w:t>
      </w:r>
    </w:p>
    <w:p w:rsidR="00023043" w:rsidRDefault="007C7209" w:rsidP="00023043">
      <w:pPr>
        <w:numPr>
          <w:ilvl w:val="0"/>
          <w:numId w:val="10"/>
        </w:numPr>
        <w:ind w:left="709" w:hanging="421"/>
        <w:rPr>
          <w:lang w:eastAsia="ar-SA"/>
        </w:rPr>
      </w:pPr>
      <w:r w:rsidRPr="007F5255">
        <w:rPr>
          <w:lang w:eastAsia="ar-SA"/>
        </w:rPr>
        <w:t>Посещения в България на партньор</w:t>
      </w:r>
      <w:r w:rsidR="0095683C">
        <w:rPr>
          <w:lang w:eastAsia="ar-SA"/>
        </w:rPr>
        <w:t>а</w:t>
      </w:r>
      <w:r w:rsidRPr="007F5255">
        <w:rPr>
          <w:lang w:eastAsia="ar-SA"/>
        </w:rPr>
        <w:t xml:space="preserve"> от страна</w:t>
      </w:r>
      <w:r w:rsidR="00060C52">
        <w:rPr>
          <w:lang w:eastAsia="ar-SA"/>
        </w:rPr>
        <w:t>та</w:t>
      </w:r>
      <w:r w:rsidRPr="007F5255">
        <w:rPr>
          <w:lang w:eastAsia="ar-SA"/>
        </w:rPr>
        <w:t xml:space="preserve">-донор или посещение на </w:t>
      </w:r>
      <w:r w:rsidR="00023043">
        <w:rPr>
          <w:lang w:eastAsia="ar-SA"/>
        </w:rPr>
        <w:t>бенефициента</w:t>
      </w:r>
      <w:r w:rsidRPr="007F5255">
        <w:rPr>
          <w:lang w:eastAsia="ar-SA"/>
        </w:rPr>
        <w:t xml:space="preserve"> в страна</w:t>
      </w:r>
      <w:r w:rsidR="0095683C">
        <w:rPr>
          <w:lang w:eastAsia="ar-SA"/>
        </w:rPr>
        <w:t>та</w:t>
      </w:r>
      <w:r w:rsidRPr="007F5255">
        <w:rPr>
          <w:lang w:eastAsia="ar-SA"/>
        </w:rPr>
        <w:t>-донор;</w:t>
      </w:r>
    </w:p>
    <w:p w:rsidR="007C7209" w:rsidRPr="007F5255" w:rsidRDefault="007C7209" w:rsidP="00023043">
      <w:pPr>
        <w:numPr>
          <w:ilvl w:val="0"/>
          <w:numId w:val="10"/>
        </w:numPr>
        <w:ind w:left="709" w:hanging="421"/>
        <w:rPr>
          <w:lang w:eastAsia="ar-SA"/>
        </w:rPr>
      </w:pPr>
      <w:r w:rsidRPr="007F5255">
        <w:rPr>
          <w:lang w:eastAsia="ar-SA"/>
        </w:rPr>
        <w:t xml:space="preserve">Управление на проекта </w:t>
      </w:r>
      <w:r w:rsidR="001444CA" w:rsidRPr="007F5255">
        <w:rPr>
          <w:lang w:eastAsia="ar-SA"/>
        </w:rPr>
        <w:t>–</w:t>
      </w:r>
      <w:r w:rsidRPr="007F5255">
        <w:rPr>
          <w:lang w:eastAsia="ar-SA"/>
        </w:rPr>
        <w:t xml:space="preserve"> до</w:t>
      </w:r>
      <w:r w:rsidR="001444CA" w:rsidRPr="007F5255">
        <w:rPr>
          <w:lang w:eastAsia="ar-SA"/>
        </w:rPr>
        <w:t xml:space="preserve"> 7 % </w:t>
      </w:r>
      <w:r w:rsidR="005F3A68" w:rsidRPr="005F3A68">
        <w:rPr>
          <w:lang w:eastAsia="ar-SA"/>
        </w:rPr>
        <w:t>от допустимите преки разходи по проекта</w:t>
      </w:r>
      <w:r w:rsidRPr="007F5255">
        <w:rPr>
          <w:lang w:eastAsia="ar-SA"/>
        </w:rPr>
        <w:t>;</w:t>
      </w:r>
    </w:p>
    <w:p w:rsidR="007C7209" w:rsidRPr="007F5255" w:rsidRDefault="007C7209" w:rsidP="007C7209">
      <w:pPr>
        <w:numPr>
          <w:ilvl w:val="0"/>
          <w:numId w:val="10"/>
        </w:numPr>
        <w:ind w:left="709" w:hanging="421"/>
        <w:rPr>
          <w:lang w:eastAsia="ar-SA"/>
        </w:rPr>
      </w:pPr>
      <w:r w:rsidRPr="007F5255">
        <w:rPr>
          <w:lang w:eastAsia="ar-SA"/>
        </w:rPr>
        <w:t>Одит;</w:t>
      </w:r>
    </w:p>
    <w:p w:rsidR="007C7209" w:rsidRDefault="00A2279A" w:rsidP="007C7209">
      <w:pPr>
        <w:numPr>
          <w:ilvl w:val="0"/>
          <w:numId w:val="10"/>
        </w:numPr>
        <w:ind w:left="709" w:hanging="421"/>
        <w:rPr>
          <w:lang w:eastAsia="ar-SA"/>
        </w:rPr>
      </w:pPr>
      <w:r>
        <w:rPr>
          <w:lang w:eastAsia="ar-SA"/>
        </w:rPr>
        <w:t>Дейности по</w:t>
      </w:r>
      <w:r w:rsidR="00060C52">
        <w:rPr>
          <w:lang w:eastAsia="ar-SA"/>
        </w:rPr>
        <w:t xml:space="preserve"> публичност и </w:t>
      </w:r>
      <w:r w:rsidR="0026506F">
        <w:rPr>
          <w:lang w:eastAsia="ar-SA"/>
        </w:rPr>
        <w:t>информация</w:t>
      </w:r>
      <w:r w:rsidR="00060C52">
        <w:rPr>
          <w:lang w:eastAsia="ar-SA"/>
        </w:rPr>
        <w:t>;</w:t>
      </w:r>
    </w:p>
    <w:p w:rsidR="00060C52" w:rsidRPr="008320F8" w:rsidRDefault="00060C52" w:rsidP="007C7209">
      <w:pPr>
        <w:numPr>
          <w:ilvl w:val="0"/>
          <w:numId w:val="10"/>
        </w:numPr>
        <w:ind w:left="709" w:hanging="421"/>
        <w:rPr>
          <w:lang w:eastAsia="ar-SA"/>
        </w:rPr>
      </w:pPr>
      <w:r w:rsidRPr="008320F8">
        <w:rPr>
          <w:lang w:eastAsia="ar-SA"/>
        </w:rPr>
        <w:t>Превод.</w:t>
      </w:r>
    </w:p>
    <w:p w:rsidR="00DD0BDC" w:rsidRPr="0015799D" w:rsidRDefault="00DD0BDC" w:rsidP="00E830FC">
      <w:pPr>
        <w:pStyle w:val="Heading2"/>
      </w:pPr>
      <w:bookmarkStart w:id="17" w:name="_Toc4745717"/>
      <w:r w:rsidRPr="0015799D">
        <w:t>СПЕЦИФИЧНИ ДОПУСТИМИ ДЕЙНОСТИ</w:t>
      </w:r>
      <w:bookmarkEnd w:id="17"/>
    </w:p>
    <w:p w:rsidR="00E830FC" w:rsidRPr="007F5255" w:rsidRDefault="00267A54" w:rsidP="00267A54">
      <w:pPr>
        <w:numPr>
          <w:ilvl w:val="0"/>
          <w:numId w:val="10"/>
        </w:numPr>
        <w:ind w:left="709" w:hanging="421"/>
        <w:rPr>
          <w:lang w:eastAsia="ar-SA"/>
        </w:rPr>
      </w:pPr>
      <w:r w:rsidRPr="007F5255">
        <w:rPr>
          <w:lang w:eastAsia="ar-SA"/>
        </w:rPr>
        <w:t>Преглед на настоящите правн</w:t>
      </w:r>
      <w:r w:rsidR="00C27C72">
        <w:rPr>
          <w:lang w:eastAsia="ar-SA"/>
        </w:rPr>
        <w:t>о-нормативна уредба</w:t>
      </w:r>
      <w:r w:rsidRPr="007F5255">
        <w:rPr>
          <w:lang w:eastAsia="ar-SA"/>
        </w:rPr>
        <w:t xml:space="preserve"> и регулаторни </w:t>
      </w:r>
      <w:r w:rsidR="00C27C72">
        <w:rPr>
          <w:lang w:eastAsia="ar-SA"/>
        </w:rPr>
        <w:t>режими</w:t>
      </w:r>
      <w:r w:rsidR="00C27C72" w:rsidRPr="007F5255">
        <w:rPr>
          <w:lang w:eastAsia="ar-SA"/>
        </w:rPr>
        <w:t xml:space="preserve"> </w:t>
      </w:r>
      <w:r w:rsidRPr="007F5255">
        <w:rPr>
          <w:lang w:eastAsia="ar-SA"/>
        </w:rPr>
        <w:t>във водноелектрическия сектор;</w:t>
      </w:r>
    </w:p>
    <w:p w:rsidR="00267A54" w:rsidRPr="007F5255" w:rsidRDefault="00267A54" w:rsidP="00716B4B">
      <w:pPr>
        <w:numPr>
          <w:ilvl w:val="0"/>
          <w:numId w:val="10"/>
        </w:numPr>
        <w:ind w:left="709" w:hanging="421"/>
        <w:rPr>
          <w:lang w:eastAsia="ar-SA"/>
        </w:rPr>
      </w:pPr>
      <w:r w:rsidRPr="007F5255">
        <w:rPr>
          <w:lang w:eastAsia="ar-SA"/>
        </w:rPr>
        <w:t xml:space="preserve">Преглед на съществуващите в </w:t>
      </w:r>
      <w:r w:rsidR="00B633E1" w:rsidRPr="00716B4B">
        <w:rPr>
          <w:lang w:eastAsia="ar-SA"/>
        </w:rPr>
        <w:t>Министерство на регионалното развитие и благоустройство</w:t>
      </w:r>
      <w:r w:rsidRPr="00716B4B">
        <w:rPr>
          <w:lang w:eastAsia="ar-SA"/>
        </w:rPr>
        <w:t xml:space="preserve"> </w:t>
      </w:r>
      <w:r w:rsidRPr="007F5255">
        <w:rPr>
          <w:lang w:eastAsia="ar-SA"/>
        </w:rPr>
        <w:t>Прединвестиционни проучвания (ПИС);</w:t>
      </w:r>
    </w:p>
    <w:p w:rsidR="00267A54" w:rsidRPr="007F5255" w:rsidRDefault="00267A54" w:rsidP="00716B4B">
      <w:pPr>
        <w:numPr>
          <w:ilvl w:val="0"/>
          <w:numId w:val="10"/>
        </w:numPr>
        <w:ind w:left="709" w:hanging="421"/>
        <w:rPr>
          <w:lang w:eastAsia="ar-SA"/>
        </w:rPr>
      </w:pPr>
      <w:r w:rsidRPr="007F5255">
        <w:rPr>
          <w:lang w:eastAsia="ar-SA"/>
        </w:rPr>
        <w:t>Събиране на данни от ВиК дружествата</w:t>
      </w:r>
      <w:r w:rsidR="003D1FC9" w:rsidRPr="007F5255">
        <w:rPr>
          <w:lang w:eastAsia="ar-SA"/>
        </w:rPr>
        <w:t xml:space="preserve"> в страната съгласно установен</w:t>
      </w:r>
      <w:r w:rsidRPr="007F5255">
        <w:rPr>
          <w:lang w:eastAsia="ar-SA"/>
        </w:rPr>
        <w:t xml:space="preserve"> контролен списък</w:t>
      </w:r>
      <w:r w:rsidR="003D1FC9" w:rsidRPr="007F5255">
        <w:rPr>
          <w:lang w:eastAsia="ar-SA"/>
        </w:rPr>
        <w:t>;</w:t>
      </w:r>
    </w:p>
    <w:p w:rsidR="003D1FC9" w:rsidRPr="007F5255" w:rsidRDefault="003D1FC9" w:rsidP="00716B4B">
      <w:pPr>
        <w:numPr>
          <w:ilvl w:val="0"/>
          <w:numId w:val="10"/>
        </w:numPr>
        <w:ind w:left="709" w:hanging="421"/>
        <w:rPr>
          <w:lang w:eastAsia="ar-SA"/>
        </w:rPr>
      </w:pPr>
      <w:r w:rsidRPr="007F5255">
        <w:rPr>
          <w:lang w:eastAsia="ar-SA"/>
        </w:rPr>
        <w:t>Събиране и обработка на данни, включително чрез измервания на място;</w:t>
      </w:r>
    </w:p>
    <w:p w:rsidR="003D1FC9" w:rsidRPr="007F5255" w:rsidRDefault="003D1FC9" w:rsidP="003D1FC9">
      <w:pPr>
        <w:numPr>
          <w:ilvl w:val="0"/>
          <w:numId w:val="21"/>
        </w:numPr>
        <w:ind w:left="709" w:hanging="349"/>
        <w:rPr>
          <w:lang w:eastAsia="ar-SA"/>
        </w:rPr>
      </w:pPr>
      <w:r w:rsidRPr="007F5255">
        <w:rPr>
          <w:lang w:eastAsia="ar-SA"/>
        </w:rPr>
        <w:t>Анализи на събраните данни от фактологията, включително идентифициране на видове/размери на възможните проекти;</w:t>
      </w:r>
    </w:p>
    <w:p w:rsidR="0006186F" w:rsidRPr="007F5255" w:rsidRDefault="00C76364" w:rsidP="00DB7554">
      <w:pPr>
        <w:numPr>
          <w:ilvl w:val="0"/>
          <w:numId w:val="21"/>
        </w:numPr>
        <w:ind w:left="709" w:hanging="349"/>
        <w:rPr>
          <w:lang w:eastAsia="ar-SA"/>
        </w:rPr>
      </w:pPr>
      <w:r>
        <w:rPr>
          <w:lang w:eastAsia="ar-SA"/>
        </w:rPr>
        <w:t>Заснемане</w:t>
      </w:r>
      <w:r w:rsidR="00590AA7" w:rsidRPr="00590AA7">
        <w:rPr>
          <w:lang w:eastAsia="ar-SA"/>
        </w:rPr>
        <w:t xml:space="preserve"> на обекти в</w:t>
      </w:r>
      <w:r>
        <w:rPr>
          <w:lang w:eastAsia="ar-SA"/>
        </w:rPr>
        <w:t>ъв водоснабдителните системи</w:t>
      </w:r>
      <w:r w:rsidR="00590AA7" w:rsidRPr="00590AA7">
        <w:rPr>
          <w:lang w:eastAsia="ar-SA"/>
        </w:rPr>
        <w:t xml:space="preserve"> </w:t>
      </w:r>
      <w:r>
        <w:rPr>
          <w:lang w:eastAsia="ar-SA"/>
        </w:rPr>
        <w:t xml:space="preserve">и разработване на принципни насоки за </w:t>
      </w:r>
      <w:r w:rsidR="005B1C07">
        <w:rPr>
          <w:lang w:eastAsia="ar-SA"/>
        </w:rPr>
        <w:t xml:space="preserve">развитие при наличие на </w:t>
      </w:r>
      <w:r w:rsidR="00590AA7" w:rsidRPr="00590AA7">
        <w:rPr>
          <w:lang w:eastAsia="ar-SA"/>
        </w:rPr>
        <w:t xml:space="preserve">подходящи условия </w:t>
      </w:r>
    </w:p>
    <w:p w:rsidR="0006186F" w:rsidRPr="007F5255" w:rsidRDefault="00C07FCE" w:rsidP="0006186F">
      <w:pPr>
        <w:numPr>
          <w:ilvl w:val="0"/>
          <w:numId w:val="21"/>
        </w:numPr>
        <w:ind w:left="709" w:hanging="349"/>
        <w:rPr>
          <w:lang w:eastAsia="ar-SA"/>
        </w:rPr>
      </w:pPr>
      <w:r>
        <w:rPr>
          <w:lang w:eastAsia="ar-SA"/>
        </w:rPr>
        <w:t>Установяване</w:t>
      </w:r>
      <w:r w:rsidRPr="007F5255">
        <w:rPr>
          <w:lang w:eastAsia="ar-SA"/>
        </w:rPr>
        <w:t xml:space="preserve"> </w:t>
      </w:r>
      <w:r w:rsidR="0006186F" w:rsidRPr="007F5255">
        <w:rPr>
          <w:lang w:eastAsia="ar-SA"/>
        </w:rPr>
        <w:t>на</w:t>
      </w:r>
      <w:r w:rsidR="00B83173">
        <w:rPr>
          <w:lang w:eastAsia="ar-SA"/>
        </w:rPr>
        <w:t xml:space="preserve"> общ подход при принципна оценка на</w:t>
      </w:r>
      <w:r w:rsidR="0006186F" w:rsidRPr="007F5255">
        <w:rPr>
          <w:lang w:eastAsia="ar-SA"/>
        </w:rPr>
        <w:t xml:space="preserve"> потенциала за надграждане на вече съществуващи малки водноелектрически централи във водоснабдителните системи;</w:t>
      </w:r>
    </w:p>
    <w:p w:rsidR="003D1FC9" w:rsidRPr="007F5255" w:rsidRDefault="0006186F" w:rsidP="0006186F">
      <w:pPr>
        <w:numPr>
          <w:ilvl w:val="0"/>
          <w:numId w:val="21"/>
        </w:numPr>
        <w:ind w:left="709" w:hanging="349"/>
        <w:rPr>
          <w:lang w:eastAsia="ar-SA"/>
        </w:rPr>
      </w:pPr>
      <w:r w:rsidRPr="007F5255">
        <w:rPr>
          <w:lang w:eastAsia="ar-SA"/>
        </w:rPr>
        <w:t>Анализ на техническата, социалната, правната и екологичната осъществимост на малките инсталации за водоснабдяване.</w:t>
      </w:r>
    </w:p>
    <w:p w:rsidR="00106C35" w:rsidRPr="007F5255" w:rsidRDefault="00D37B67" w:rsidP="00106C35">
      <w:pPr>
        <w:pStyle w:val="Heading2"/>
      </w:pPr>
      <w:bookmarkStart w:id="18" w:name="_Toc4745718"/>
      <w:r w:rsidRPr="007F5255">
        <w:lastRenderedPageBreak/>
        <w:t>НЕДОПУСТИМИ ДЕЙНОСТИ</w:t>
      </w:r>
      <w:bookmarkEnd w:id="18"/>
    </w:p>
    <w:p w:rsidR="009A1127" w:rsidRPr="007F5255" w:rsidRDefault="009A1127" w:rsidP="009A1127">
      <w:pPr>
        <w:rPr>
          <w:lang w:eastAsia="ar-SA"/>
        </w:rPr>
      </w:pPr>
      <w:r w:rsidRPr="007F5255">
        <w:rPr>
          <w:lang w:eastAsia="ar-SA"/>
        </w:rPr>
        <w:t>Недопустими по процедурата са следните видове дейности:</w:t>
      </w:r>
    </w:p>
    <w:p w:rsidR="009A1127" w:rsidRPr="007F5255" w:rsidRDefault="009A1127" w:rsidP="00FD62B8">
      <w:pPr>
        <w:numPr>
          <w:ilvl w:val="0"/>
          <w:numId w:val="21"/>
        </w:numPr>
        <w:ind w:left="709" w:hanging="349"/>
        <w:rPr>
          <w:lang w:eastAsia="ar-SA"/>
        </w:rPr>
      </w:pPr>
      <w:r w:rsidRPr="007F5255">
        <w:rPr>
          <w:lang w:eastAsia="ar-SA"/>
        </w:rPr>
        <w:t>дейности, чието изпълнение е стартирало преди под</w:t>
      </w:r>
      <w:r w:rsidR="00D233D2" w:rsidRPr="007F5255">
        <w:rPr>
          <w:lang w:eastAsia="ar-SA"/>
        </w:rPr>
        <w:t>аване на проектното предложение</w:t>
      </w:r>
      <w:r w:rsidRPr="007F5255">
        <w:rPr>
          <w:lang w:eastAsia="ar-SA"/>
        </w:rPr>
        <w:t>;</w:t>
      </w:r>
    </w:p>
    <w:p w:rsidR="009A1127" w:rsidRPr="007F5255" w:rsidRDefault="009A1127" w:rsidP="00FD62B8">
      <w:pPr>
        <w:numPr>
          <w:ilvl w:val="0"/>
          <w:numId w:val="21"/>
        </w:numPr>
        <w:ind w:left="709" w:hanging="349"/>
        <w:rPr>
          <w:lang w:eastAsia="ar-SA"/>
        </w:rPr>
      </w:pPr>
      <w:r w:rsidRPr="007F5255">
        <w:rPr>
          <w:lang w:eastAsia="ar-SA"/>
        </w:rPr>
        <w:t>дейности, извършени след изтичане на крайния срок за изпълнение на дейностите по проекта, с изключение на дейността одит на проекта;</w:t>
      </w:r>
    </w:p>
    <w:p w:rsidR="009A1127" w:rsidRPr="007F5255" w:rsidRDefault="009A1127" w:rsidP="00FD62B8">
      <w:pPr>
        <w:numPr>
          <w:ilvl w:val="0"/>
          <w:numId w:val="21"/>
        </w:numPr>
        <w:ind w:left="709" w:hanging="349"/>
        <w:rPr>
          <w:lang w:eastAsia="ar-SA"/>
        </w:rPr>
      </w:pPr>
      <w:r w:rsidRPr="007F5255">
        <w:rPr>
          <w:lang w:eastAsia="ar-SA"/>
        </w:rPr>
        <w:t>дейности, които вече са финансирани от други публични източници;</w:t>
      </w:r>
    </w:p>
    <w:p w:rsidR="009A1127" w:rsidRPr="007F5255" w:rsidRDefault="009A1127" w:rsidP="00FD62B8">
      <w:pPr>
        <w:numPr>
          <w:ilvl w:val="0"/>
          <w:numId w:val="21"/>
        </w:numPr>
        <w:ind w:left="709" w:hanging="349"/>
        <w:rPr>
          <w:lang w:eastAsia="ar-SA"/>
        </w:rPr>
      </w:pPr>
      <w:r w:rsidRPr="007F5255">
        <w:rPr>
          <w:lang w:eastAsia="ar-SA"/>
        </w:rPr>
        <w:t>закупуване на дълготрайни активи втора употреба и на дълготрайни активи, които не са заведени за първи път от получателя на помощта (закупени от първи доставчик или производител);</w:t>
      </w:r>
    </w:p>
    <w:p w:rsidR="009A1127" w:rsidRPr="007F5255" w:rsidRDefault="009A1127" w:rsidP="00FD62B8">
      <w:pPr>
        <w:numPr>
          <w:ilvl w:val="0"/>
          <w:numId w:val="21"/>
        </w:numPr>
        <w:ind w:left="709" w:hanging="349"/>
        <w:rPr>
          <w:lang w:eastAsia="ar-SA"/>
        </w:rPr>
      </w:pPr>
      <w:r w:rsidRPr="007F5255">
        <w:rPr>
          <w:lang w:eastAsia="ar-SA"/>
        </w:rPr>
        <w:t>оборудване и нематериални дълготрайни активи, които не са пряко свързани с постигане на целите на проекта или не са необходими за изпълнение на мерките;</w:t>
      </w:r>
    </w:p>
    <w:p w:rsidR="00D233D2" w:rsidRPr="007F5255" w:rsidRDefault="00D233D2" w:rsidP="00FD62B8">
      <w:pPr>
        <w:numPr>
          <w:ilvl w:val="0"/>
          <w:numId w:val="21"/>
        </w:numPr>
        <w:ind w:left="709" w:hanging="349"/>
        <w:rPr>
          <w:lang w:eastAsia="ar-SA"/>
        </w:rPr>
      </w:pPr>
      <w:r w:rsidRPr="007F5255">
        <w:rPr>
          <w:lang w:eastAsia="ar-SA"/>
        </w:rPr>
        <w:t>консултантски услуги за разработване на проектното предложение;</w:t>
      </w:r>
    </w:p>
    <w:p w:rsidR="00106C35" w:rsidRPr="007F5255" w:rsidRDefault="0054168A" w:rsidP="00650084">
      <w:pPr>
        <w:pStyle w:val="Heading1"/>
        <w:rPr>
          <w:lang w:val="bg-BG"/>
        </w:rPr>
      </w:pPr>
      <w:bookmarkStart w:id="19" w:name="_Toc4745719"/>
      <w:r w:rsidRPr="007F5255">
        <w:rPr>
          <w:lang w:val="bg-BG"/>
        </w:rPr>
        <w:t>КАТЕГОРИИ РАЗХОДИ, ДОПУСТИМИ ЗА ФИНАНСИРАНЕ</w:t>
      </w:r>
      <w:bookmarkEnd w:id="19"/>
    </w:p>
    <w:p w:rsidR="00295166" w:rsidRDefault="00D37B67" w:rsidP="00295166">
      <w:pPr>
        <w:pStyle w:val="Heading2"/>
      </w:pPr>
      <w:bookmarkStart w:id="20" w:name="_Toc4745720"/>
      <w:r w:rsidRPr="007F5255">
        <w:t>УСЛОВИЯ ЗА ДОПУСТИМОСТ НА РАЗХОДИТЕ</w:t>
      </w:r>
      <w:bookmarkEnd w:id="20"/>
    </w:p>
    <w:p w:rsidR="0025298E" w:rsidRPr="0022747A" w:rsidRDefault="0025298E" w:rsidP="0022747A">
      <w:pPr>
        <w:rPr>
          <w:lang w:eastAsia="ar-SA"/>
        </w:rPr>
      </w:pPr>
      <w:r w:rsidRPr="0022747A">
        <w:rPr>
          <w:lang w:eastAsia="ar-SA"/>
        </w:rPr>
        <w:t>За да бъдат допустими, разходите за изпълнение на Проект трябва едновременно да отговарят на следните изисквания:</w:t>
      </w:r>
    </w:p>
    <w:p w:rsidR="0025298E" w:rsidRPr="0022747A" w:rsidRDefault="0025298E" w:rsidP="0022747A">
      <w:pPr>
        <w:numPr>
          <w:ilvl w:val="0"/>
          <w:numId w:val="45"/>
        </w:numPr>
        <w:rPr>
          <w:lang w:eastAsia="ar-SA"/>
        </w:rPr>
      </w:pPr>
      <w:r w:rsidRPr="0022747A">
        <w:rPr>
          <w:lang w:eastAsia="ar-SA"/>
        </w:rPr>
        <w:t xml:space="preserve">Да бъдат реално извършени от Бенефициента или от неговия Партньор, по време на изпълнението на Проекта и в рамките на договорения срок за изпълнение на Проекта; </w:t>
      </w:r>
    </w:p>
    <w:p w:rsidR="0025298E" w:rsidRPr="0022747A" w:rsidRDefault="0025298E" w:rsidP="0022747A">
      <w:pPr>
        <w:numPr>
          <w:ilvl w:val="0"/>
          <w:numId w:val="45"/>
        </w:numPr>
        <w:rPr>
          <w:lang w:eastAsia="ar-SA"/>
        </w:rPr>
      </w:pPr>
      <w:r w:rsidRPr="0022747A">
        <w:rPr>
          <w:lang w:eastAsia="ar-SA"/>
        </w:rPr>
        <w:t xml:space="preserve">Да са възникнали между първата и последната дата на допустимост на разходите за Проекта съгласно Договора за </w:t>
      </w:r>
      <w:proofErr w:type="spellStart"/>
      <w:r w:rsidRPr="0022747A">
        <w:rPr>
          <w:lang w:eastAsia="ar-SA"/>
        </w:rPr>
        <w:t>БФП</w:t>
      </w:r>
      <w:proofErr w:type="spellEnd"/>
      <w:r w:rsidRPr="0022747A">
        <w:rPr>
          <w:lang w:eastAsia="ar-SA"/>
        </w:rPr>
        <w:t>;</w:t>
      </w:r>
    </w:p>
    <w:p w:rsidR="0025298E" w:rsidRPr="0022747A" w:rsidRDefault="0025298E" w:rsidP="0022747A">
      <w:pPr>
        <w:numPr>
          <w:ilvl w:val="0"/>
          <w:numId w:val="45"/>
        </w:numPr>
        <w:rPr>
          <w:lang w:eastAsia="ar-SA"/>
        </w:rPr>
      </w:pPr>
      <w:r w:rsidRPr="0022747A">
        <w:rPr>
          <w:lang w:eastAsia="ar-SA"/>
        </w:rPr>
        <w:t xml:space="preserve">Да са пряко свързани с предмета на Договора за </w:t>
      </w:r>
      <w:proofErr w:type="spellStart"/>
      <w:r w:rsidRPr="0022747A">
        <w:rPr>
          <w:lang w:eastAsia="ar-SA"/>
        </w:rPr>
        <w:t>БФП</w:t>
      </w:r>
      <w:proofErr w:type="spellEnd"/>
      <w:r w:rsidRPr="0022747A">
        <w:rPr>
          <w:lang w:eastAsia="ar-SA"/>
        </w:rPr>
        <w:t xml:space="preserve"> и да съответстват на одобрения бюджет по Проекта, съответно на бюджетното разпределение за Партньора; </w:t>
      </w:r>
    </w:p>
    <w:p w:rsidR="0025298E" w:rsidRPr="0022747A" w:rsidRDefault="0025298E" w:rsidP="0022747A">
      <w:pPr>
        <w:numPr>
          <w:ilvl w:val="0"/>
          <w:numId w:val="45"/>
        </w:numPr>
        <w:rPr>
          <w:lang w:eastAsia="ar-SA"/>
        </w:rPr>
      </w:pPr>
      <w:r w:rsidRPr="0022747A">
        <w:rPr>
          <w:lang w:eastAsia="ar-SA"/>
        </w:rPr>
        <w:t xml:space="preserve">Да са необходими и пропорционални на изпълнението на допустимите по Проекта дейности, а отчитането на изпълнените дейности да бъде документално обосновано; </w:t>
      </w:r>
    </w:p>
    <w:p w:rsidR="0025298E" w:rsidRPr="0022747A" w:rsidRDefault="0025298E" w:rsidP="0022747A">
      <w:pPr>
        <w:numPr>
          <w:ilvl w:val="0"/>
          <w:numId w:val="45"/>
        </w:numPr>
        <w:rPr>
          <w:lang w:eastAsia="ar-SA"/>
        </w:rPr>
      </w:pPr>
      <w:r w:rsidRPr="0022747A">
        <w:rPr>
          <w:lang w:eastAsia="ar-SA"/>
        </w:rPr>
        <w:t xml:space="preserve">Да са направени единствено и само с цел постигане на целите и очакваните резултати от изпълнението на Проекта по начин, съвместим с принципите на икономичност, ефикасност и ефективност; </w:t>
      </w:r>
    </w:p>
    <w:p w:rsidR="0025298E" w:rsidRPr="0022747A" w:rsidRDefault="0025298E" w:rsidP="00441205">
      <w:pPr>
        <w:numPr>
          <w:ilvl w:val="0"/>
          <w:numId w:val="45"/>
        </w:numPr>
        <w:rPr>
          <w:lang w:eastAsia="ar-SA"/>
        </w:rPr>
      </w:pPr>
      <w:r w:rsidRPr="0022747A">
        <w:rPr>
          <w:lang w:eastAsia="ar-SA"/>
        </w:rPr>
        <w:t xml:space="preserve">Да са удостоверени с необходимите </w:t>
      </w:r>
      <w:proofErr w:type="spellStart"/>
      <w:r w:rsidRPr="0022747A">
        <w:rPr>
          <w:lang w:eastAsia="ar-SA"/>
        </w:rPr>
        <w:t>разходооправдателни</w:t>
      </w:r>
      <w:proofErr w:type="spellEnd"/>
      <w:r w:rsidRPr="0022747A">
        <w:rPr>
          <w:lang w:eastAsia="ar-SA"/>
        </w:rPr>
        <w:t xml:space="preserve"> документи (фактури, договори или други счетоводни документи), документи за извършени плащания съгласно българското законодателство</w:t>
      </w:r>
      <w:r w:rsidR="00441205">
        <w:rPr>
          <w:lang w:eastAsia="ar-SA"/>
        </w:rPr>
        <w:t>/</w:t>
      </w:r>
      <w:r w:rsidR="00441205" w:rsidRPr="00441205">
        <w:rPr>
          <w:lang w:eastAsia="ar-SA"/>
        </w:rPr>
        <w:t>правилата, действащи в международни и други организации</w:t>
      </w:r>
      <w:r w:rsidRPr="0022747A">
        <w:rPr>
          <w:lang w:eastAsia="ar-SA"/>
        </w:rPr>
        <w:t xml:space="preserve"> както и документи, доказващи получаване на стоки и/или услуги; </w:t>
      </w:r>
    </w:p>
    <w:p w:rsidR="0025298E" w:rsidRPr="0022747A" w:rsidRDefault="0025298E" w:rsidP="0022747A">
      <w:pPr>
        <w:numPr>
          <w:ilvl w:val="0"/>
          <w:numId w:val="45"/>
        </w:numPr>
        <w:rPr>
          <w:lang w:eastAsia="ar-SA"/>
        </w:rPr>
      </w:pPr>
      <w:r w:rsidRPr="0022747A">
        <w:rPr>
          <w:lang w:eastAsia="ar-SA"/>
        </w:rPr>
        <w:t xml:space="preserve">Да са отразени в счетоводните документи и регистри на Бенефициента или на неговия Партньор в съответствие със Закона за счетоводството и приложимите счетоводни стандарти и принципи; </w:t>
      </w:r>
    </w:p>
    <w:p w:rsidR="0025298E" w:rsidRPr="0022747A" w:rsidRDefault="0025298E" w:rsidP="0022747A">
      <w:pPr>
        <w:numPr>
          <w:ilvl w:val="0"/>
          <w:numId w:val="45"/>
        </w:numPr>
        <w:rPr>
          <w:lang w:eastAsia="ar-SA"/>
        </w:rPr>
      </w:pPr>
      <w:r w:rsidRPr="0022747A">
        <w:rPr>
          <w:lang w:eastAsia="ar-SA"/>
        </w:rPr>
        <w:t xml:space="preserve">Да отговарят на изискванията на данъчно-осигурителното законодателство; </w:t>
      </w:r>
    </w:p>
    <w:p w:rsidR="0025298E" w:rsidRPr="0022747A" w:rsidRDefault="0025298E" w:rsidP="0022747A">
      <w:pPr>
        <w:numPr>
          <w:ilvl w:val="0"/>
          <w:numId w:val="45"/>
        </w:numPr>
        <w:rPr>
          <w:lang w:eastAsia="ar-SA"/>
        </w:rPr>
      </w:pPr>
      <w:r w:rsidRPr="0022747A">
        <w:rPr>
          <w:lang w:eastAsia="ar-SA"/>
        </w:rPr>
        <w:t xml:space="preserve">Системите </w:t>
      </w:r>
      <w:r w:rsidRPr="00CF590D">
        <w:rPr>
          <w:lang w:eastAsia="ar-SA"/>
        </w:rPr>
        <w:t>за счетоводна отчетност и вътрешен контрол на Бене</w:t>
      </w:r>
      <w:r w:rsidR="00FD0694" w:rsidRPr="00CF590D">
        <w:rPr>
          <w:lang w:eastAsia="ar-SA"/>
        </w:rPr>
        <w:t>фициента и на неговият Партньор</w:t>
      </w:r>
      <w:r w:rsidRPr="00CF590D">
        <w:rPr>
          <w:lang w:eastAsia="ar-SA"/>
        </w:rPr>
        <w:t xml:space="preserve"> </w:t>
      </w:r>
      <w:r w:rsidRPr="0022747A">
        <w:rPr>
          <w:lang w:eastAsia="ar-SA"/>
        </w:rPr>
        <w:t xml:space="preserve">трябва да позволяват директно идентифициране и проверка на декларираните </w:t>
      </w:r>
      <w:r w:rsidRPr="0022747A">
        <w:rPr>
          <w:lang w:eastAsia="ar-SA"/>
        </w:rPr>
        <w:lastRenderedPageBreak/>
        <w:t xml:space="preserve">приходи и разходи по Проекта. Приходите и разходите по Проекта трябва да бъдат обособени отделно и да дават възможност за проследимост на всички стопански операции по Проекта и изготвянето на самостоятелни отчети само за целите на Проекта. </w:t>
      </w:r>
    </w:p>
    <w:p w:rsidR="0025298E" w:rsidRPr="0022747A" w:rsidRDefault="0025298E" w:rsidP="0022747A">
      <w:pPr>
        <w:rPr>
          <w:lang w:eastAsia="ar-SA"/>
        </w:rPr>
      </w:pPr>
      <w:r w:rsidRPr="0022747A">
        <w:rPr>
          <w:lang w:eastAsia="ar-SA"/>
        </w:rPr>
        <w:t>Разходите се считат за възникнали, когато са били фактурирани, платени и предметът им е бил изпълнен. По изключение, разходи за които е издадена фактура през последния месец на допустимост, също ще се считат за извършени в периода за допустимост, ако са изплатени до 30 дни след крайната дата на допустимост на разходите по Проект</w:t>
      </w:r>
      <w:r w:rsidR="00C12B6E" w:rsidRPr="0022747A">
        <w:rPr>
          <w:lang w:eastAsia="ar-SA"/>
        </w:rPr>
        <w:t xml:space="preserve">а. </w:t>
      </w:r>
      <w:r w:rsidRPr="0022747A">
        <w:rPr>
          <w:lang w:eastAsia="ar-SA"/>
        </w:rPr>
        <w:t>Счетоводните принципи и процедури на Бенефициента трябва да са организирани така, че да позволяват аналитично осчетоводяване на полученото финансиране и разходите по Проекта и лесен достъп до първичните счетоводни документи.</w:t>
      </w:r>
    </w:p>
    <w:p w:rsidR="0025298E" w:rsidRDefault="0025298E" w:rsidP="0022747A">
      <w:pPr>
        <w:rPr>
          <w:lang w:eastAsia="ar-SA"/>
        </w:rPr>
      </w:pPr>
      <w:r w:rsidRPr="0022747A">
        <w:rPr>
          <w:lang w:eastAsia="ar-SA"/>
        </w:rPr>
        <w:t>Непреките разходи и когато е приложимо, разходите за амортизация се считат за извършени към момента на осчетоводяването им от Бенефициента и/или Партньора.</w:t>
      </w:r>
      <w:r w:rsidR="00C12B6E" w:rsidRPr="0022747A">
        <w:rPr>
          <w:lang w:eastAsia="ar-SA"/>
        </w:rPr>
        <w:t xml:space="preserve"> </w:t>
      </w:r>
      <w:r w:rsidRPr="0022747A">
        <w:rPr>
          <w:lang w:eastAsia="ar-SA"/>
        </w:rPr>
        <w:t>При начисляването на амортизации Бенефициента следва да спазва</w:t>
      </w:r>
      <w:r w:rsidR="00B03537">
        <w:rPr>
          <w:lang w:val="en-US" w:eastAsia="ar-SA"/>
        </w:rPr>
        <w:t xml:space="preserve"> </w:t>
      </w:r>
      <w:r w:rsidRPr="0022747A">
        <w:rPr>
          <w:lang w:eastAsia="ar-SA"/>
        </w:rPr>
        <w:t>Указание на министъра на финансите ДДС 5/ 30.09.2016 г., което определя концептуалния модел за прилагане на националния счетоводен стандарт (</w:t>
      </w:r>
      <w:proofErr w:type="spellStart"/>
      <w:r w:rsidRPr="0022747A">
        <w:rPr>
          <w:lang w:eastAsia="ar-SA"/>
        </w:rPr>
        <w:t>СС</w:t>
      </w:r>
      <w:proofErr w:type="spellEnd"/>
      <w:r w:rsidRPr="0022747A">
        <w:rPr>
          <w:lang w:eastAsia="ar-SA"/>
        </w:rPr>
        <w:t xml:space="preserve"> 4 Отчитане на амортизациите). </w:t>
      </w:r>
    </w:p>
    <w:p w:rsidR="0025298E" w:rsidRPr="0025298E" w:rsidRDefault="0025298E" w:rsidP="0025298E">
      <w:pPr>
        <w:spacing w:before="0" w:after="0"/>
        <w:ind w:firstLine="720"/>
        <w:rPr>
          <w:rFonts w:eastAsia="Calibri"/>
          <w:b/>
          <w:sz w:val="20"/>
          <w:szCs w:val="24"/>
        </w:rPr>
      </w:pPr>
    </w:p>
    <w:p w:rsidR="00295166" w:rsidRPr="007F5255" w:rsidRDefault="00D37B67" w:rsidP="00295166">
      <w:pPr>
        <w:pStyle w:val="Heading2"/>
      </w:pPr>
      <w:bookmarkStart w:id="21" w:name="_Toc4745721"/>
      <w:r w:rsidRPr="007F5255">
        <w:t>ДОПУСТИМИ РАЗХОДИ</w:t>
      </w:r>
      <w:bookmarkEnd w:id="21"/>
    </w:p>
    <w:p w:rsidR="002B4B2A" w:rsidRDefault="002B4B2A" w:rsidP="002B4B2A">
      <w:pPr>
        <w:pStyle w:val="Heading3"/>
        <w:rPr>
          <w:lang w:val="bg-BG"/>
        </w:rPr>
      </w:pPr>
      <w:bookmarkStart w:id="22" w:name="_Toc4745722"/>
      <w:r w:rsidRPr="007F5255">
        <w:rPr>
          <w:lang w:val="bg-BG"/>
        </w:rPr>
        <w:t>Допустими преки разходи</w:t>
      </w:r>
      <w:bookmarkEnd w:id="22"/>
    </w:p>
    <w:p w:rsidR="0025298E" w:rsidRPr="0022747A" w:rsidRDefault="0025298E" w:rsidP="0022747A">
      <w:pPr>
        <w:rPr>
          <w:lang w:eastAsia="ar-SA"/>
        </w:rPr>
      </w:pPr>
      <w:r w:rsidRPr="0022747A">
        <w:rPr>
          <w:lang w:eastAsia="ar-SA"/>
        </w:rPr>
        <w:t>Допустими преки разходи за Проекта са разходите, реализирани от Бенефициента и/или Партньора по Проекта, осчетоводени в съответствие с обичайните счетоводни принципи и вътрешни правила на организацията като разходи, пряко свързани с изпълнението на Проекта, които могат да бъдат директно отчетени към него. Когато удовлетворяват общите принципи за допустимост на разходите</w:t>
      </w:r>
      <w:r w:rsidR="0075081F" w:rsidRPr="0022747A">
        <w:rPr>
          <w:lang w:eastAsia="ar-SA"/>
        </w:rPr>
        <w:t>,</w:t>
      </w:r>
      <w:r w:rsidRPr="0022747A">
        <w:rPr>
          <w:lang w:eastAsia="ar-SA"/>
        </w:rPr>
        <w:t xml:space="preserve"> следните преки разходи се считат за допустими:</w:t>
      </w:r>
    </w:p>
    <w:p w:rsidR="0025298E" w:rsidRPr="0022747A" w:rsidRDefault="0025298E" w:rsidP="0022747A">
      <w:pPr>
        <w:numPr>
          <w:ilvl w:val="0"/>
          <w:numId w:val="46"/>
        </w:numPr>
        <w:rPr>
          <w:lang w:eastAsia="ar-SA"/>
        </w:rPr>
      </w:pPr>
      <w:r w:rsidRPr="0022747A">
        <w:rPr>
          <w:lang w:eastAsia="ar-SA"/>
        </w:rPr>
        <w:t>Разходи за персонал, работещ по Проекта, състоящи се от действителни заплати, вноски за социално осигуряване и други разходи по закон, включени във възнаграждението, ако това съвпада с обичайната политика на Бенефициента, съответно на Партньора, по отношение на възнагражденията. Разходите за заплати на персонала са допустими, доколкото са свързани с изпълнението на дейности, които Бенефициентът не би извършвал, ако съответният Проект не се изпълнява. При определяне на разходите за персонал на Бенефициента се прилага съответното българско законодателството;</w:t>
      </w:r>
    </w:p>
    <w:p w:rsidR="0025298E" w:rsidRPr="0022747A" w:rsidRDefault="004F075F" w:rsidP="00651188">
      <w:pPr>
        <w:numPr>
          <w:ilvl w:val="0"/>
          <w:numId w:val="46"/>
        </w:numPr>
        <w:rPr>
          <w:lang w:eastAsia="ar-SA"/>
        </w:rPr>
      </w:pPr>
      <w:r w:rsidRPr="004F075F">
        <w:rPr>
          <w:lang w:eastAsia="ar-SA"/>
        </w:rPr>
        <w:t xml:space="preserve">Пътни, дневни и квартирни разходи за персонала на Бенефициента </w:t>
      </w:r>
      <w:r w:rsidR="0025298E" w:rsidRPr="0022747A">
        <w:rPr>
          <w:lang w:eastAsia="ar-SA"/>
        </w:rPr>
        <w:t>трябва да са съобразени с Наредбата за командировките в страната</w:t>
      </w:r>
      <w:r w:rsidR="00C64084">
        <w:rPr>
          <w:lang w:eastAsia="ar-SA"/>
        </w:rPr>
        <w:t>,</w:t>
      </w:r>
      <w:r w:rsidR="0025298E" w:rsidRPr="0022747A">
        <w:rPr>
          <w:lang w:eastAsia="ar-SA"/>
        </w:rPr>
        <w:t xml:space="preserve"> Наредбата за служебните командировки и специализации в чужбина</w:t>
      </w:r>
      <w:r w:rsidR="00C64084">
        <w:rPr>
          <w:lang w:eastAsia="ar-SA"/>
        </w:rPr>
        <w:t xml:space="preserve"> и националното законодателство</w:t>
      </w:r>
      <w:r w:rsidR="0025298E" w:rsidRPr="0022747A">
        <w:rPr>
          <w:lang w:eastAsia="ar-SA"/>
        </w:rPr>
        <w:t>;</w:t>
      </w:r>
      <w:r w:rsidR="006A2DF9">
        <w:rPr>
          <w:lang w:eastAsia="ar-SA"/>
        </w:rPr>
        <w:t xml:space="preserve"> Р</w:t>
      </w:r>
      <w:r w:rsidR="00441205">
        <w:rPr>
          <w:lang w:eastAsia="ar-SA"/>
        </w:rPr>
        <w:t>азходите за командировки</w:t>
      </w:r>
      <w:r w:rsidR="006A2DF9">
        <w:rPr>
          <w:lang w:eastAsia="ar-SA"/>
        </w:rPr>
        <w:t xml:space="preserve"> на Партньора</w:t>
      </w:r>
      <w:r w:rsidR="00441205">
        <w:rPr>
          <w:lang w:eastAsia="ar-SA"/>
        </w:rPr>
        <w:t xml:space="preserve"> са съгласно </w:t>
      </w:r>
      <w:r w:rsidR="00441205" w:rsidRPr="00441205">
        <w:rPr>
          <w:lang w:eastAsia="ar-SA"/>
        </w:rPr>
        <w:t xml:space="preserve">правилата, действащи в </w:t>
      </w:r>
      <w:r w:rsidR="00441205">
        <w:rPr>
          <w:lang w:eastAsia="ar-SA"/>
        </w:rPr>
        <w:t>съответната</w:t>
      </w:r>
      <w:r w:rsidR="00441205" w:rsidRPr="00441205">
        <w:rPr>
          <w:lang w:eastAsia="ar-SA"/>
        </w:rPr>
        <w:t xml:space="preserve"> организаци</w:t>
      </w:r>
      <w:r w:rsidR="00441205">
        <w:rPr>
          <w:lang w:eastAsia="ar-SA"/>
        </w:rPr>
        <w:t>я</w:t>
      </w:r>
      <w:r w:rsidR="00441205" w:rsidRPr="00441205">
        <w:rPr>
          <w:lang w:eastAsia="ar-SA"/>
        </w:rPr>
        <w:t>;</w:t>
      </w:r>
    </w:p>
    <w:p w:rsidR="0025298E" w:rsidRPr="0022747A" w:rsidRDefault="001D08E4" w:rsidP="001D08E4">
      <w:pPr>
        <w:numPr>
          <w:ilvl w:val="0"/>
          <w:numId w:val="46"/>
        </w:numPr>
        <w:rPr>
          <w:lang w:eastAsia="ar-SA"/>
        </w:rPr>
      </w:pPr>
      <w:r w:rsidRPr="001D08E4">
        <w:rPr>
          <w:lang w:eastAsia="ar-SA"/>
        </w:rPr>
        <w:t xml:space="preserve">Разходи за материали и консумативи, при условие че те са свързани и необходими за </w:t>
      </w:r>
      <w:r w:rsidR="00B633E1" w:rsidRPr="004C4264">
        <w:rPr>
          <w:lang w:eastAsia="ar-SA"/>
        </w:rPr>
        <w:t>и</w:t>
      </w:r>
      <w:r w:rsidRPr="004C4264">
        <w:rPr>
          <w:lang w:eastAsia="ar-SA"/>
        </w:rPr>
        <w:t>зпъ</w:t>
      </w:r>
      <w:r w:rsidRPr="001D08E4">
        <w:rPr>
          <w:lang w:eastAsia="ar-SA"/>
        </w:rPr>
        <w:t>лнението на Проекта</w:t>
      </w:r>
      <w:r w:rsidR="0025298E" w:rsidRPr="0022747A">
        <w:rPr>
          <w:lang w:eastAsia="ar-SA"/>
        </w:rPr>
        <w:t>;</w:t>
      </w:r>
    </w:p>
    <w:p w:rsidR="00B633E1" w:rsidRDefault="0069095F" w:rsidP="00DB7554">
      <w:pPr>
        <w:numPr>
          <w:ilvl w:val="0"/>
          <w:numId w:val="46"/>
        </w:numPr>
        <w:rPr>
          <w:lang w:eastAsia="ar-SA"/>
        </w:rPr>
      </w:pPr>
      <w:r>
        <w:rPr>
          <w:lang w:eastAsia="ar-SA"/>
        </w:rPr>
        <w:t>Р</w:t>
      </w:r>
      <w:r w:rsidRPr="0069095F">
        <w:rPr>
          <w:lang w:eastAsia="ar-SA"/>
        </w:rPr>
        <w:t xml:space="preserve">азходите, до които са довели други договори, възложени от </w:t>
      </w:r>
      <w:r w:rsidR="00C622CA">
        <w:rPr>
          <w:lang w:eastAsia="ar-SA"/>
        </w:rPr>
        <w:t>Бенефициента</w:t>
      </w:r>
      <w:r w:rsidR="00624CB2">
        <w:rPr>
          <w:lang w:eastAsia="ar-SA"/>
        </w:rPr>
        <w:t xml:space="preserve"> </w:t>
      </w:r>
      <w:r w:rsidRPr="0069095F">
        <w:rPr>
          <w:lang w:eastAsia="ar-SA"/>
        </w:rPr>
        <w:t>за целите на изпълнението на проекта</w:t>
      </w:r>
      <w:r>
        <w:rPr>
          <w:lang w:eastAsia="ar-SA"/>
        </w:rPr>
        <w:t>,</w:t>
      </w:r>
      <w:r w:rsidR="0025298E" w:rsidRPr="0022747A">
        <w:rPr>
          <w:lang w:eastAsia="ar-SA"/>
        </w:rPr>
        <w:t xml:space="preserve"> възложени в съответствие с приложимото законодателство за обществени поръчки и Регламента;</w:t>
      </w:r>
    </w:p>
    <w:p w:rsidR="0025298E" w:rsidRPr="009B5854" w:rsidRDefault="0069095F" w:rsidP="00DB7554">
      <w:pPr>
        <w:numPr>
          <w:ilvl w:val="0"/>
          <w:numId w:val="46"/>
        </w:numPr>
        <w:rPr>
          <w:lang w:eastAsia="ar-SA"/>
        </w:rPr>
      </w:pPr>
      <w:r>
        <w:rPr>
          <w:lang w:eastAsia="ar-SA"/>
        </w:rPr>
        <w:lastRenderedPageBreak/>
        <w:t>Р</w:t>
      </w:r>
      <w:r w:rsidRPr="0069095F">
        <w:rPr>
          <w:lang w:eastAsia="ar-SA"/>
        </w:rPr>
        <w:t xml:space="preserve">азходи, възникващи директно от изисквания, наложени от договора по проекта </w:t>
      </w:r>
      <w:r w:rsidR="00C33F2E" w:rsidRPr="00C33F2E">
        <w:rPr>
          <w:lang w:eastAsia="ar-SA"/>
        </w:rPr>
        <w:t>(разходите за превод, одит, за дейности за информираност и публичност, разходи за обмен на опит, знания и най-добри практики на управленско и експертно ниво, предоставени от Партньора</w:t>
      </w:r>
      <w:r w:rsidR="00AB50A1">
        <w:rPr>
          <w:lang w:eastAsia="ar-SA"/>
        </w:rPr>
        <w:t>)</w:t>
      </w:r>
      <w:r w:rsidR="00E962B6">
        <w:rPr>
          <w:lang w:eastAsia="ar-SA"/>
        </w:rPr>
        <w:t>.</w:t>
      </w:r>
      <w:r w:rsidR="00C33F2E" w:rsidRPr="00C33F2E">
        <w:rPr>
          <w:lang w:eastAsia="ar-SA"/>
        </w:rPr>
        <w:t xml:space="preserve"> </w:t>
      </w:r>
      <w:r w:rsidR="0025298E" w:rsidRPr="009B5854">
        <w:rPr>
          <w:lang w:eastAsia="ar-SA"/>
        </w:rPr>
        <w:t>Бенефициентът гарантира, че изискванията за допустимост на разходите на Партньора са включени в Споразумението за партньорство.</w:t>
      </w:r>
    </w:p>
    <w:p w:rsidR="0025298E" w:rsidRPr="0025298E" w:rsidRDefault="0025298E" w:rsidP="0025298E">
      <w:pPr>
        <w:tabs>
          <w:tab w:val="left" w:pos="709"/>
        </w:tabs>
        <w:spacing w:before="0" w:after="0" w:line="240" w:lineRule="auto"/>
        <w:ind w:firstLine="720"/>
        <w:rPr>
          <w:rFonts w:eastAsia="Calibri"/>
          <w:sz w:val="20"/>
          <w:szCs w:val="20"/>
          <w:lang w:eastAsia="en-US"/>
        </w:rPr>
      </w:pPr>
    </w:p>
    <w:p w:rsidR="00E951FB" w:rsidRDefault="00E951FB" w:rsidP="00E951FB">
      <w:pPr>
        <w:pStyle w:val="Heading3"/>
        <w:rPr>
          <w:lang w:val="bg-BG"/>
        </w:rPr>
      </w:pPr>
      <w:bookmarkStart w:id="23" w:name="_Toc4745723"/>
      <w:r w:rsidRPr="007F5255">
        <w:rPr>
          <w:lang w:val="bg-BG"/>
        </w:rPr>
        <w:t>Допустими непреки разходи по проектите</w:t>
      </w:r>
      <w:bookmarkEnd w:id="23"/>
      <w:r w:rsidRPr="007F5255">
        <w:rPr>
          <w:lang w:val="bg-BG"/>
        </w:rPr>
        <w:t xml:space="preserve"> </w:t>
      </w:r>
    </w:p>
    <w:p w:rsidR="00CE2A0C" w:rsidRPr="004C4264" w:rsidRDefault="00AF6E59" w:rsidP="00CE2A0C">
      <w:pPr>
        <w:rPr>
          <w:lang w:eastAsia="ar-SA"/>
        </w:rPr>
      </w:pPr>
      <w:r w:rsidRPr="004C4264">
        <w:rPr>
          <w:lang w:eastAsia="ar-SA"/>
        </w:rPr>
        <w:t>Допустими н</w:t>
      </w:r>
      <w:r w:rsidR="00CE2A0C" w:rsidRPr="004C4264">
        <w:rPr>
          <w:lang w:eastAsia="ar-SA"/>
        </w:rPr>
        <w:t xml:space="preserve">епреки разходи са всички допустими разходи, които не могат да бъдат идентифицирани от Бенефициента и/или Партньора по проекта като пряко свързани с проекта, но които могат да бъдат идентифицирани и доказани от неговата счетоводна система като разходи, направени в пряка връзка с допустимите преки разходи към проекта. Те не могат да включват допустими преки разходи. </w:t>
      </w:r>
      <w:r w:rsidRPr="004C4264">
        <w:rPr>
          <w:lang w:eastAsia="ar-SA"/>
        </w:rPr>
        <w:t>Допустимите н</w:t>
      </w:r>
      <w:r w:rsidR="00CE2A0C" w:rsidRPr="004C4264">
        <w:rPr>
          <w:lang w:eastAsia="ar-SA"/>
        </w:rPr>
        <w:t xml:space="preserve">епреки разходи по проекта представляват справедливо разпределение на режийните разходи на Бенефициента или на Партньора по проекта. </w:t>
      </w:r>
    </w:p>
    <w:p w:rsidR="00C368E3" w:rsidRPr="00804530" w:rsidRDefault="00C368E3" w:rsidP="00C368E3">
      <w:pPr>
        <w:spacing w:before="0" w:after="0" w:line="240" w:lineRule="auto"/>
        <w:ind w:firstLine="709"/>
        <w:rPr>
          <w:rFonts w:eastAsia="Calibri"/>
          <w:szCs w:val="20"/>
          <w:lang w:eastAsia="en-US"/>
        </w:rPr>
      </w:pPr>
      <w:r w:rsidRPr="00804530">
        <w:rPr>
          <w:rFonts w:eastAsia="Calibri"/>
          <w:szCs w:val="20"/>
          <w:lang w:eastAsia="en-US"/>
        </w:rPr>
        <w:t>Непреките разходи могат да бъдат изчислени по един от следните методи:</w:t>
      </w:r>
    </w:p>
    <w:p w:rsidR="00C368E3" w:rsidRPr="00871402" w:rsidRDefault="00C368E3" w:rsidP="00871402">
      <w:pPr>
        <w:numPr>
          <w:ilvl w:val="0"/>
          <w:numId w:val="50"/>
        </w:numPr>
        <w:rPr>
          <w:lang w:eastAsia="ar-SA"/>
        </w:rPr>
      </w:pPr>
      <w:r w:rsidRPr="00871402">
        <w:rPr>
          <w:lang w:eastAsia="ar-SA"/>
        </w:rPr>
        <w:t>на база действителните непреки разходи на тези Бенефициенти и Партньори, които имат аналитично осчетоводяване, което позволява конкретно идентифициране на непреките разходи;</w:t>
      </w:r>
    </w:p>
    <w:p w:rsidR="00C368E3" w:rsidRPr="00871402" w:rsidRDefault="00C368E3" w:rsidP="00871402">
      <w:pPr>
        <w:numPr>
          <w:ilvl w:val="0"/>
          <w:numId w:val="50"/>
        </w:numPr>
        <w:rPr>
          <w:lang w:eastAsia="ar-SA"/>
        </w:rPr>
      </w:pPr>
      <w:r w:rsidRPr="00871402">
        <w:rPr>
          <w:lang w:eastAsia="ar-SA"/>
        </w:rPr>
        <w:t xml:space="preserve">фиксирана ставка до 25% от общата сума на допустимите преки разходи, с изключение на преките допустими разходи за външни изпълнители и разходите за ресурси, предоставени от трети страни, които не се използват на обектите на Бенефициента или Партньора. При прилагането на този метод, изчисляване на ставката се извършва на база на честна, справедлива и </w:t>
      </w:r>
      <w:proofErr w:type="spellStart"/>
      <w:r w:rsidRPr="00871402">
        <w:rPr>
          <w:lang w:eastAsia="ar-SA"/>
        </w:rPr>
        <w:t>проверима</w:t>
      </w:r>
      <w:proofErr w:type="spellEnd"/>
      <w:r w:rsidRPr="00871402">
        <w:rPr>
          <w:lang w:eastAsia="ar-SA"/>
        </w:rPr>
        <w:t xml:space="preserve"> методика или се прилага метод, който е обичаен при държавно финансиране на схеми за подобен тип проекти и Бенефициенти;</w:t>
      </w:r>
    </w:p>
    <w:p w:rsidR="00C368E3" w:rsidRPr="00871402" w:rsidRDefault="00C368E3" w:rsidP="00871402">
      <w:pPr>
        <w:numPr>
          <w:ilvl w:val="0"/>
          <w:numId w:val="50"/>
        </w:numPr>
        <w:rPr>
          <w:lang w:eastAsia="ar-SA"/>
        </w:rPr>
      </w:pPr>
      <w:r w:rsidRPr="00871402">
        <w:rPr>
          <w:lang w:eastAsia="ar-SA"/>
        </w:rPr>
        <w:t>фиксирана ставка до 15% от допустимите преки разходи за персонал, без да има изискване към ПО да изготви метод за определяне на приложимата ставка;</w:t>
      </w:r>
    </w:p>
    <w:p w:rsidR="00C368E3" w:rsidRPr="00871402" w:rsidRDefault="00C368E3" w:rsidP="00871402">
      <w:pPr>
        <w:numPr>
          <w:ilvl w:val="0"/>
          <w:numId w:val="50"/>
        </w:numPr>
        <w:rPr>
          <w:lang w:eastAsia="ar-SA"/>
        </w:rPr>
      </w:pPr>
      <w:r w:rsidRPr="00871402">
        <w:rPr>
          <w:lang w:eastAsia="ar-SA"/>
        </w:rPr>
        <w:t>фиксирана ставка, процент от допустимите преки разходи, изчислена на база съществуващи методи и коефициенти приложими в практиката на ЕС за същите или подобни проекти и Бенефициенти.</w:t>
      </w:r>
    </w:p>
    <w:p w:rsidR="00A57320" w:rsidRPr="00616D7E" w:rsidRDefault="00C368E3" w:rsidP="00A57320">
      <w:pPr>
        <w:rPr>
          <w:rFonts w:eastAsia="Calibri"/>
          <w:szCs w:val="20"/>
          <w:lang w:eastAsia="en-US"/>
        </w:rPr>
      </w:pPr>
      <w:r w:rsidRPr="00804530">
        <w:rPr>
          <w:rFonts w:eastAsia="Calibri"/>
          <w:szCs w:val="20"/>
          <w:lang w:eastAsia="en-US"/>
        </w:rPr>
        <w:t xml:space="preserve">Методът на изчисляване на непреките разходи и тяхната максимална стойност на Бенефициента и Партньора по Проекта е посочен в Договора за </w:t>
      </w:r>
      <w:proofErr w:type="spellStart"/>
      <w:r w:rsidRPr="00804530">
        <w:rPr>
          <w:rFonts w:eastAsia="Calibri"/>
          <w:szCs w:val="20"/>
          <w:lang w:eastAsia="en-US"/>
        </w:rPr>
        <w:t>БФП</w:t>
      </w:r>
      <w:proofErr w:type="spellEnd"/>
      <w:r w:rsidRPr="00804530">
        <w:rPr>
          <w:rFonts w:eastAsia="Calibri"/>
          <w:szCs w:val="20"/>
          <w:lang w:eastAsia="en-US"/>
        </w:rPr>
        <w:t>.</w:t>
      </w:r>
      <w:r w:rsidR="00A57320" w:rsidRPr="00804530">
        <w:rPr>
          <w:sz w:val="16"/>
          <w:lang w:eastAsia="ar-SA"/>
        </w:rPr>
        <w:t xml:space="preserve"> </w:t>
      </w:r>
      <w:r w:rsidR="00DF07C9" w:rsidRPr="00DF07C9">
        <w:t xml:space="preserve"> </w:t>
      </w:r>
      <w:r w:rsidR="00DF07C9" w:rsidRPr="00616D7E">
        <w:rPr>
          <w:rFonts w:eastAsia="Calibri"/>
          <w:szCs w:val="20"/>
          <w:lang w:eastAsia="en-US"/>
        </w:rPr>
        <w:t>Методът на изчисляване на непреките разходи</w:t>
      </w:r>
      <w:r w:rsidR="00DF07C9">
        <w:rPr>
          <w:rFonts w:eastAsia="Calibri"/>
          <w:szCs w:val="20"/>
          <w:lang w:val="en-US" w:eastAsia="en-US"/>
        </w:rPr>
        <w:t xml:space="preserve"> </w:t>
      </w:r>
      <w:r w:rsidR="00DF07C9">
        <w:rPr>
          <w:rFonts w:eastAsia="Calibri"/>
          <w:szCs w:val="20"/>
          <w:lang w:eastAsia="en-US"/>
        </w:rPr>
        <w:t xml:space="preserve">на </w:t>
      </w:r>
      <w:r w:rsidR="00DF07C9" w:rsidRPr="00DF07C9">
        <w:rPr>
          <w:rFonts w:eastAsia="Calibri"/>
          <w:szCs w:val="20"/>
          <w:lang w:eastAsia="en-US"/>
        </w:rPr>
        <w:t>Партньора по Проекта</w:t>
      </w:r>
      <w:r w:rsidR="00DF07C9">
        <w:rPr>
          <w:rFonts w:eastAsia="Calibri"/>
          <w:szCs w:val="20"/>
          <w:lang w:eastAsia="en-US"/>
        </w:rPr>
        <w:t xml:space="preserve"> следва да бъде посочен и в </w:t>
      </w:r>
      <w:r w:rsidR="007F631C">
        <w:rPr>
          <w:rFonts w:eastAsia="Calibri"/>
          <w:szCs w:val="20"/>
          <w:lang w:eastAsia="en-US"/>
        </w:rPr>
        <w:t xml:space="preserve">Споразумението за партньорство. </w:t>
      </w:r>
    </w:p>
    <w:p w:rsidR="0025298E" w:rsidRPr="0025298E" w:rsidRDefault="0025298E" w:rsidP="00C368E3">
      <w:pPr>
        <w:spacing w:before="0" w:after="0" w:line="240" w:lineRule="auto"/>
        <w:ind w:firstLine="709"/>
        <w:rPr>
          <w:rFonts w:eastAsia="Calibri"/>
          <w:sz w:val="20"/>
          <w:szCs w:val="20"/>
          <w:lang w:eastAsia="en-US"/>
        </w:rPr>
      </w:pPr>
    </w:p>
    <w:p w:rsidR="002B4B2A" w:rsidRPr="007F5255" w:rsidRDefault="00D37B67" w:rsidP="002B4B2A">
      <w:pPr>
        <w:pStyle w:val="Heading2"/>
      </w:pPr>
      <w:bookmarkStart w:id="24" w:name="_Toc4745724"/>
      <w:r w:rsidRPr="007F5255">
        <w:t>НЕДОПУСТИМИ РАЗХОДИ</w:t>
      </w:r>
      <w:bookmarkEnd w:id="24"/>
      <w:r w:rsidR="002B4B2A" w:rsidRPr="007F5255">
        <w:t xml:space="preserve"> </w:t>
      </w:r>
    </w:p>
    <w:p w:rsidR="002B4B2A" w:rsidRPr="007F5255" w:rsidRDefault="002B4B2A" w:rsidP="0075081F">
      <w:pPr>
        <w:spacing w:line="480" w:lineRule="auto"/>
        <w:rPr>
          <w:lang w:eastAsia="ar-SA"/>
        </w:rPr>
      </w:pPr>
      <w:r w:rsidRPr="007F5255">
        <w:rPr>
          <w:lang w:eastAsia="ar-SA"/>
        </w:rPr>
        <w:t>Посочените по-долу разходи не се считат за допустими:</w:t>
      </w:r>
    </w:p>
    <w:p w:rsidR="0025298E" w:rsidRPr="0025298E" w:rsidRDefault="0025298E" w:rsidP="0075081F">
      <w:pPr>
        <w:numPr>
          <w:ilvl w:val="0"/>
          <w:numId w:val="42"/>
        </w:numPr>
        <w:tabs>
          <w:tab w:val="left" w:pos="567"/>
        </w:tabs>
        <w:autoSpaceDE w:val="0"/>
        <w:autoSpaceDN w:val="0"/>
        <w:adjustRightInd w:val="0"/>
        <w:spacing w:before="0" w:after="0" w:line="480" w:lineRule="auto"/>
        <w:ind w:left="0" w:firstLine="360"/>
        <w:rPr>
          <w:lang w:eastAsia="ar-SA"/>
        </w:rPr>
      </w:pPr>
      <w:r w:rsidRPr="0025298E">
        <w:rPr>
          <w:lang w:eastAsia="ar-SA"/>
        </w:rPr>
        <w:t>лихви върху кредити, такси по обслужване на дългове и неустойки за забавени плащания;</w:t>
      </w:r>
    </w:p>
    <w:p w:rsidR="0025298E" w:rsidRPr="0025298E" w:rsidRDefault="008B32CB" w:rsidP="0075081F">
      <w:pPr>
        <w:numPr>
          <w:ilvl w:val="0"/>
          <w:numId w:val="42"/>
        </w:numPr>
        <w:tabs>
          <w:tab w:val="left" w:pos="567"/>
        </w:tabs>
        <w:autoSpaceDE w:val="0"/>
        <w:autoSpaceDN w:val="0"/>
        <w:adjustRightInd w:val="0"/>
        <w:spacing w:before="0" w:after="0" w:line="480" w:lineRule="auto"/>
        <w:ind w:left="0" w:firstLine="360"/>
        <w:rPr>
          <w:lang w:eastAsia="ar-SA"/>
        </w:rPr>
      </w:pPr>
      <w:r w:rsidRPr="008B32CB">
        <w:rPr>
          <w:lang w:eastAsia="ar-SA"/>
        </w:rPr>
        <w:t>такси за финансови трансакции и други чисто финансови разходи, с изключение на разходите, свързани с отчети, изисквани от Норвежкото министерство на външните работи, Националното координационно звено или приложимото право и разходи за финансови услуги, наложени от договора по проекта</w:t>
      </w:r>
      <w:r w:rsidR="0025298E" w:rsidRPr="0025298E">
        <w:rPr>
          <w:lang w:eastAsia="ar-SA"/>
        </w:rPr>
        <w:t>;</w:t>
      </w:r>
    </w:p>
    <w:p w:rsidR="0025298E" w:rsidRPr="0025298E" w:rsidRDefault="0025298E" w:rsidP="0075081F">
      <w:pPr>
        <w:numPr>
          <w:ilvl w:val="0"/>
          <w:numId w:val="42"/>
        </w:numPr>
        <w:tabs>
          <w:tab w:val="left" w:pos="567"/>
        </w:tabs>
        <w:autoSpaceDE w:val="0"/>
        <w:autoSpaceDN w:val="0"/>
        <w:adjustRightInd w:val="0"/>
        <w:spacing w:before="0" w:after="0" w:line="480" w:lineRule="auto"/>
        <w:ind w:left="0" w:firstLine="360"/>
        <w:rPr>
          <w:lang w:eastAsia="ar-SA"/>
        </w:rPr>
      </w:pPr>
      <w:r w:rsidRPr="0025298E">
        <w:rPr>
          <w:lang w:eastAsia="ar-SA"/>
        </w:rPr>
        <w:lastRenderedPageBreak/>
        <w:t>резерви за загуби или евентуални бъдещи задължения;</w:t>
      </w:r>
    </w:p>
    <w:p w:rsidR="0025298E" w:rsidRPr="0025298E" w:rsidRDefault="0025298E" w:rsidP="0075081F">
      <w:pPr>
        <w:numPr>
          <w:ilvl w:val="0"/>
          <w:numId w:val="42"/>
        </w:numPr>
        <w:tabs>
          <w:tab w:val="left" w:pos="567"/>
        </w:tabs>
        <w:autoSpaceDE w:val="0"/>
        <w:autoSpaceDN w:val="0"/>
        <w:adjustRightInd w:val="0"/>
        <w:spacing w:before="0" w:after="0" w:line="480" w:lineRule="auto"/>
        <w:ind w:left="0" w:firstLine="360"/>
        <w:rPr>
          <w:lang w:eastAsia="ar-SA"/>
        </w:rPr>
      </w:pPr>
      <w:r w:rsidRPr="0025298E">
        <w:rPr>
          <w:lang w:eastAsia="ar-SA"/>
        </w:rPr>
        <w:t>загуби от обмен на валута;</w:t>
      </w:r>
    </w:p>
    <w:p w:rsidR="0025298E" w:rsidRPr="0025298E" w:rsidRDefault="0025298E" w:rsidP="0075081F">
      <w:pPr>
        <w:numPr>
          <w:ilvl w:val="0"/>
          <w:numId w:val="42"/>
        </w:numPr>
        <w:tabs>
          <w:tab w:val="left" w:pos="567"/>
        </w:tabs>
        <w:autoSpaceDE w:val="0"/>
        <w:autoSpaceDN w:val="0"/>
        <w:adjustRightInd w:val="0"/>
        <w:spacing w:before="0" w:after="0" w:line="480" w:lineRule="auto"/>
        <w:ind w:left="0" w:firstLine="360"/>
        <w:rPr>
          <w:lang w:eastAsia="ar-SA"/>
        </w:rPr>
      </w:pPr>
      <w:r w:rsidRPr="0025298E">
        <w:rPr>
          <w:lang w:eastAsia="ar-SA"/>
        </w:rPr>
        <w:t>разходи, които се покриват от други източници;</w:t>
      </w:r>
    </w:p>
    <w:p w:rsidR="0025298E" w:rsidRPr="0025298E" w:rsidRDefault="0025298E" w:rsidP="0075081F">
      <w:pPr>
        <w:numPr>
          <w:ilvl w:val="0"/>
          <w:numId w:val="42"/>
        </w:numPr>
        <w:tabs>
          <w:tab w:val="left" w:pos="567"/>
        </w:tabs>
        <w:autoSpaceDE w:val="0"/>
        <w:autoSpaceDN w:val="0"/>
        <w:adjustRightInd w:val="0"/>
        <w:spacing w:before="0" w:after="0" w:line="480" w:lineRule="auto"/>
        <w:ind w:left="0" w:firstLine="360"/>
        <w:rPr>
          <w:lang w:eastAsia="ar-SA"/>
        </w:rPr>
      </w:pPr>
      <w:r w:rsidRPr="0025298E">
        <w:rPr>
          <w:lang w:eastAsia="ar-SA"/>
        </w:rPr>
        <w:t>глоби, неустойки и разходи за съдебни процеси с изключение случаите, когато обжалването е необходима и неразделна част от постигане на заложените цели по Проекта;</w:t>
      </w:r>
    </w:p>
    <w:p w:rsidR="0025298E" w:rsidRPr="0025298E" w:rsidRDefault="00AF6E59" w:rsidP="0075081F">
      <w:pPr>
        <w:numPr>
          <w:ilvl w:val="0"/>
          <w:numId w:val="42"/>
        </w:numPr>
        <w:tabs>
          <w:tab w:val="left" w:pos="567"/>
        </w:tabs>
        <w:autoSpaceDE w:val="0"/>
        <w:autoSpaceDN w:val="0"/>
        <w:adjustRightInd w:val="0"/>
        <w:spacing w:before="0" w:after="0" w:line="480" w:lineRule="auto"/>
        <w:ind w:left="0" w:firstLine="360"/>
        <w:rPr>
          <w:lang w:eastAsia="ar-SA"/>
        </w:rPr>
      </w:pPr>
      <w:r>
        <w:rPr>
          <w:lang w:eastAsia="ar-SA"/>
        </w:rPr>
        <w:t>п</w:t>
      </w:r>
      <w:r w:rsidR="0025298E" w:rsidRPr="0025298E">
        <w:rPr>
          <w:lang w:eastAsia="ar-SA"/>
        </w:rPr>
        <w:t>рекомерни</w:t>
      </w:r>
      <w:r>
        <w:rPr>
          <w:lang w:eastAsia="ar-SA"/>
        </w:rPr>
        <w:t xml:space="preserve"> </w:t>
      </w:r>
      <w:r w:rsidR="0025298E" w:rsidRPr="004C4264">
        <w:rPr>
          <w:lang w:eastAsia="ar-SA"/>
        </w:rPr>
        <w:t>разходи;</w:t>
      </w:r>
    </w:p>
    <w:p w:rsidR="00B34F2B" w:rsidRDefault="0025298E" w:rsidP="00BE65DC">
      <w:pPr>
        <w:numPr>
          <w:ilvl w:val="0"/>
          <w:numId w:val="42"/>
        </w:numPr>
        <w:tabs>
          <w:tab w:val="left" w:pos="567"/>
        </w:tabs>
        <w:autoSpaceDE w:val="0"/>
        <w:autoSpaceDN w:val="0"/>
        <w:adjustRightInd w:val="0"/>
        <w:spacing w:before="0" w:after="0" w:line="480" w:lineRule="auto"/>
        <w:ind w:left="0" w:firstLine="360"/>
        <w:rPr>
          <w:lang w:eastAsia="ar-SA"/>
        </w:rPr>
      </w:pPr>
      <w:r w:rsidRPr="0025298E">
        <w:rPr>
          <w:lang w:eastAsia="ar-SA"/>
        </w:rPr>
        <w:t xml:space="preserve"> разходи, неотговарящи на общите критерии за допустимост.</w:t>
      </w:r>
    </w:p>
    <w:p w:rsidR="00B34F2B" w:rsidRDefault="00B34F2B" w:rsidP="00BE65DC">
      <w:pPr>
        <w:numPr>
          <w:ilvl w:val="0"/>
          <w:numId w:val="42"/>
        </w:numPr>
        <w:tabs>
          <w:tab w:val="left" w:pos="567"/>
        </w:tabs>
        <w:autoSpaceDE w:val="0"/>
        <w:autoSpaceDN w:val="0"/>
        <w:adjustRightInd w:val="0"/>
        <w:spacing w:before="0" w:after="0" w:line="480" w:lineRule="auto"/>
        <w:ind w:left="0" w:firstLine="360"/>
        <w:rPr>
          <w:lang w:eastAsia="ar-SA"/>
        </w:rPr>
      </w:pPr>
      <w:r w:rsidRPr="00DB7554">
        <w:rPr>
          <w:lang w:eastAsia="ar-SA"/>
        </w:rPr>
        <w:t>Разходи, извършени след 30 април 2024 г., не са допустими</w:t>
      </w:r>
    </w:p>
    <w:p w:rsidR="00BA0053" w:rsidRPr="00BE65DC" w:rsidRDefault="00BA0053" w:rsidP="00DB7554">
      <w:pPr>
        <w:tabs>
          <w:tab w:val="left" w:pos="567"/>
        </w:tabs>
        <w:autoSpaceDE w:val="0"/>
        <w:autoSpaceDN w:val="0"/>
        <w:adjustRightInd w:val="0"/>
        <w:spacing w:before="0" w:after="0" w:line="480" w:lineRule="auto"/>
        <w:ind w:left="360"/>
        <w:rPr>
          <w:lang w:eastAsia="ar-SA"/>
        </w:rPr>
      </w:pPr>
      <w:r>
        <w:rPr>
          <w:lang w:val="en-US" w:eastAsia="ar-SA"/>
        </w:rPr>
        <w:t xml:space="preserve">10. </w:t>
      </w:r>
      <w:r>
        <w:rPr>
          <w:lang w:eastAsia="ar-SA"/>
        </w:rPr>
        <w:t>П</w:t>
      </w:r>
      <w:r w:rsidRPr="00BA0053">
        <w:rPr>
          <w:lang w:eastAsia="ar-SA"/>
        </w:rPr>
        <w:t>одлежащ на възстановяване ДДС</w:t>
      </w:r>
      <w:r>
        <w:rPr>
          <w:lang w:eastAsia="ar-SA"/>
        </w:rPr>
        <w:t>.</w:t>
      </w:r>
    </w:p>
    <w:p w:rsidR="00B34F2B" w:rsidRDefault="00B34F2B" w:rsidP="00BE65DC">
      <w:pPr>
        <w:tabs>
          <w:tab w:val="left" w:pos="567"/>
        </w:tabs>
        <w:autoSpaceDE w:val="0"/>
        <w:autoSpaceDN w:val="0"/>
        <w:adjustRightInd w:val="0"/>
        <w:spacing w:before="0" w:after="0" w:line="480" w:lineRule="auto"/>
        <w:ind w:left="360"/>
        <w:rPr>
          <w:lang w:eastAsia="ar-SA"/>
        </w:rPr>
      </w:pPr>
    </w:p>
    <w:p w:rsidR="00131298" w:rsidRDefault="00131298" w:rsidP="00131298">
      <w:pPr>
        <w:tabs>
          <w:tab w:val="left" w:pos="567"/>
        </w:tabs>
        <w:autoSpaceDE w:val="0"/>
        <w:autoSpaceDN w:val="0"/>
        <w:adjustRightInd w:val="0"/>
        <w:spacing w:before="0" w:after="0" w:line="480" w:lineRule="auto"/>
        <w:ind w:left="360"/>
        <w:rPr>
          <w:lang w:eastAsia="ar-SA"/>
        </w:rPr>
      </w:pPr>
    </w:p>
    <w:p w:rsidR="001458DB" w:rsidRDefault="001458DB" w:rsidP="001458DB">
      <w:pPr>
        <w:pStyle w:val="Heading2"/>
      </w:pPr>
      <w:bookmarkStart w:id="25" w:name="_Toc4745725"/>
      <w:r>
        <w:t>БЮДЖЕТ НА ПРОЕКТНОТО ПРЕДЛОЖЕНИЕ</w:t>
      </w:r>
      <w:bookmarkEnd w:id="25"/>
    </w:p>
    <w:p w:rsidR="0073342D" w:rsidRPr="00DB7554" w:rsidRDefault="0073342D" w:rsidP="002B5C8E">
      <w:pPr>
        <w:rPr>
          <w:szCs w:val="18"/>
          <w:lang w:eastAsia="ar-SA"/>
        </w:rPr>
      </w:pPr>
      <w:r w:rsidRPr="00DB7554">
        <w:rPr>
          <w:szCs w:val="18"/>
          <w:lang w:eastAsia="ar-SA"/>
        </w:rPr>
        <w:t>Бюджетът на проектното предложение включва допустими преки разходи, допустими непреки разходи и невъзстановим данък добавена стойност (ДДС), обособени в отделни раздели. Във Формуляра за кандидатстване бюджетът се изготвя в лева. Допълнително бюджетът се изготвя в лева и евро във формат “</w:t>
      </w:r>
      <w:proofErr w:type="spellStart"/>
      <w:r w:rsidRPr="00DB7554">
        <w:rPr>
          <w:szCs w:val="18"/>
          <w:lang w:eastAsia="ar-SA"/>
        </w:rPr>
        <w:t>excel</w:t>
      </w:r>
      <w:proofErr w:type="spellEnd"/>
      <w:r w:rsidRPr="00DB7554">
        <w:rPr>
          <w:szCs w:val="18"/>
          <w:lang w:eastAsia="ar-SA"/>
        </w:rPr>
        <w:t xml:space="preserve">” и се прилага към Формуляра за кандидатстване </w:t>
      </w:r>
      <w:r w:rsidRPr="00EB3170">
        <w:rPr>
          <w:szCs w:val="18"/>
          <w:lang w:eastAsia="ar-SA"/>
        </w:rPr>
        <w:t xml:space="preserve">(Приложение </w:t>
      </w:r>
      <w:r w:rsidR="00EB3170" w:rsidRPr="00EB3170">
        <w:rPr>
          <w:szCs w:val="18"/>
          <w:lang w:val="en-US" w:eastAsia="ar-SA"/>
        </w:rPr>
        <w:t>6</w:t>
      </w:r>
      <w:r w:rsidRPr="00EB3170">
        <w:rPr>
          <w:szCs w:val="18"/>
          <w:lang w:eastAsia="ar-SA"/>
        </w:rPr>
        <w:t>).</w:t>
      </w:r>
      <w:r w:rsidRPr="00DB7554">
        <w:rPr>
          <w:szCs w:val="18"/>
          <w:lang w:eastAsia="ar-SA"/>
        </w:rPr>
        <w:t xml:space="preserve"> Стойностите и единичните цени се закръгляват до втория знак след десетичната запетая. Всеки допустим разход трябва да е обособен като отделен бюджетен ред. Разходите на Кандидата и Партньора (в случай че разходва средства) следва да бъдат обособени в отделни редове. </w:t>
      </w:r>
    </w:p>
    <w:p w:rsidR="0073342D" w:rsidRPr="00DB7554" w:rsidRDefault="0073342D" w:rsidP="002B5C8E">
      <w:pPr>
        <w:rPr>
          <w:szCs w:val="18"/>
          <w:lang w:eastAsia="ar-SA"/>
        </w:rPr>
      </w:pPr>
      <w:r w:rsidRPr="00DB7554">
        <w:rPr>
          <w:szCs w:val="18"/>
          <w:lang w:eastAsia="ar-SA"/>
        </w:rPr>
        <w:t>Бюджетът се разработва на база един</w:t>
      </w:r>
      <w:r w:rsidRPr="004C4264">
        <w:rPr>
          <w:szCs w:val="18"/>
          <w:lang w:eastAsia="ar-SA"/>
        </w:rPr>
        <w:t xml:space="preserve">ични </w:t>
      </w:r>
      <w:r w:rsidRPr="00DB7554">
        <w:rPr>
          <w:szCs w:val="18"/>
          <w:lang w:eastAsia="ar-SA"/>
        </w:rPr>
        <w:t xml:space="preserve">цени в лева без включен данък добавена стойност (ДДС). В случай че разходите за ДДС са невъзстановими, невъзстановимият ДДС се включва в Раздел </w:t>
      </w:r>
      <w:r w:rsidR="00935E84">
        <w:rPr>
          <w:szCs w:val="18"/>
          <w:lang w:val="en-US" w:eastAsia="ar-SA"/>
        </w:rPr>
        <w:t>V</w:t>
      </w:r>
      <w:r w:rsidRPr="00DB7554">
        <w:rPr>
          <w:szCs w:val="18"/>
          <w:lang w:eastAsia="ar-SA"/>
        </w:rPr>
        <w:t xml:space="preserve"> от бюджета.</w:t>
      </w:r>
    </w:p>
    <w:p w:rsidR="0073342D" w:rsidRPr="00DB7554" w:rsidRDefault="0073342D" w:rsidP="002B5C8E">
      <w:pPr>
        <w:rPr>
          <w:szCs w:val="18"/>
          <w:lang w:eastAsia="ar-SA"/>
        </w:rPr>
      </w:pPr>
      <w:r w:rsidRPr="00DB7554">
        <w:rPr>
          <w:szCs w:val="18"/>
          <w:lang w:eastAsia="ar-SA"/>
        </w:rPr>
        <w:t xml:space="preserve">Кандидатът обосновава всеки предвиден разход, като включва кратко текстово описание във Формуляра за кандидатстване. </w:t>
      </w:r>
    </w:p>
    <w:p w:rsidR="0073342D" w:rsidRPr="00DB7554" w:rsidRDefault="0073342D" w:rsidP="0073342D">
      <w:pPr>
        <w:rPr>
          <w:szCs w:val="18"/>
          <w:lang w:eastAsia="ar-SA"/>
        </w:rPr>
      </w:pPr>
      <w:r w:rsidRPr="00CA2F3F">
        <w:rPr>
          <w:szCs w:val="18"/>
          <w:lang w:eastAsia="ar-SA"/>
        </w:rPr>
        <w:t xml:space="preserve">За целите на планиране на разходите се използва курс 1 </w:t>
      </w:r>
      <w:proofErr w:type="spellStart"/>
      <w:r w:rsidRPr="00CA2F3F">
        <w:rPr>
          <w:szCs w:val="18"/>
          <w:lang w:eastAsia="ar-SA"/>
        </w:rPr>
        <w:t>euro</w:t>
      </w:r>
      <w:proofErr w:type="spellEnd"/>
      <w:r w:rsidRPr="00CA2F3F">
        <w:rPr>
          <w:szCs w:val="18"/>
          <w:lang w:eastAsia="ar-SA"/>
        </w:rPr>
        <w:t xml:space="preserve"> = 1.9558</w:t>
      </w:r>
      <w:r w:rsidR="00CA2F3F" w:rsidRPr="00CA2F3F">
        <w:rPr>
          <w:szCs w:val="18"/>
          <w:lang w:eastAsia="ar-SA"/>
        </w:rPr>
        <w:t>3</w:t>
      </w:r>
      <w:r w:rsidRPr="00CA2F3F">
        <w:rPr>
          <w:szCs w:val="18"/>
          <w:lang w:eastAsia="ar-SA"/>
        </w:rPr>
        <w:t xml:space="preserve"> лева.</w:t>
      </w:r>
      <w:r w:rsidR="005954EE" w:rsidRPr="00CA2F3F">
        <w:rPr>
          <w:szCs w:val="18"/>
          <w:lang w:eastAsia="ar-SA"/>
        </w:rPr>
        <w:t xml:space="preserve"> </w:t>
      </w: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920"/>
      </w:tblGrid>
      <w:tr w:rsidR="008B1BB3" w:rsidRPr="00DB7554" w:rsidTr="008B1BB3">
        <w:trPr>
          <w:trHeight w:val="790"/>
        </w:trPr>
        <w:tc>
          <w:tcPr>
            <w:tcW w:w="9920" w:type="dxa"/>
            <w:tcBorders>
              <w:top w:val="single" w:sz="12" w:space="0" w:color="ED7D31"/>
              <w:left w:val="single" w:sz="12" w:space="0" w:color="ED7D31"/>
              <w:bottom w:val="single" w:sz="12" w:space="0" w:color="ED7D31"/>
              <w:right w:val="single" w:sz="12" w:space="0" w:color="ED7D31"/>
            </w:tcBorders>
            <w:vAlign w:val="center"/>
          </w:tcPr>
          <w:p w:rsidR="008B1BB3" w:rsidRPr="008B1BB3" w:rsidRDefault="008B1BB3" w:rsidP="002B5C8E">
            <w:pPr>
              <w:rPr>
                <w:b/>
                <w:szCs w:val="18"/>
              </w:rPr>
            </w:pPr>
            <w:r w:rsidRPr="008B1BB3">
              <w:rPr>
                <w:b/>
                <w:szCs w:val="18"/>
              </w:rPr>
              <w:t>ВАЖНО!</w:t>
            </w:r>
          </w:p>
          <w:p w:rsidR="008B1BB3" w:rsidRPr="0091171A" w:rsidRDefault="008B1BB3" w:rsidP="002B5C8E">
            <w:pPr>
              <w:rPr>
                <w:b/>
                <w:szCs w:val="18"/>
              </w:rPr>
            </w:pPr>
            <w:r w:rsidRPr="008B1BB3">
              <w:rPr>
                <w:b/>
                <w:szCs w:val="18"/>
              </w:rPr>
              <w:t xml:space="preserve">При съставянето на бюджета следва да се има предвид, че той ще бъде разходван като се спазват правилата на ЗОП и </w:t>
            </w:r>
            <w:r w:rsidR="00AF6E59" w:rsidRPr="0091171A">
              <w:rPr>
                <w:b/>
                <w:szCs w:val="18"/>
              </w:rPr>
              <w:t>Правилника за неговото прилагане</w:t>
            </w:r>
            <w:r w:rsidRPr="0091171A">
              <w:rPr>
                <w:b/>
                <w:szCs w:val="18"/>
              </w:rPr>
              <w:t>.</w:t>
            </w:r>
          </w:p>
          <w:p w:rsidR="008B1BB3" w:rsidRPr="008B1BB3" w:rsidRDefault="008B1BB3" w:rsidP="002B5C8E">
            <w:pPr>
              <w:rPr>
                <w:b/>
                <w:szCs w:val="18"/>
              </w:rPr>
            </w:pPr>
            <w:r w:rsidRPr="008B1BB3">
              <w:rPr>
                <w:b/>
                <w:szCs w:val="18"/>
              </w:rPr>
              <w:t>Кандидатите следва да се съобразят, че съгласно посоченото национално законодателство, редът за провеждане на процедурите за определяне на изпълнител/и се определя въз основа на стойността и предмета на услугата или доставката, независимо в кое перо на бюджета са предвидени съответните разходи. Не се допуска разделяне на предмета на услугата или доставката с цел заобикаляне прилагането на посочените нормативни актове.</w:t>
            </w:r>
          </w:p>
          <w:p w:rsidR="008B1BB3" w:rsidRPr="008B1BB3" w:rsidRDefault="008B1BB3" w:rsidP="002B5C8E">
            <w:pPr>
              <w:rPr>
                <w:b/>
                <w:szCs w:val="18"/>
              </w:rPr>
            </w:pPr>
            <w:r w:rsidRPr="008B1BB3">
              <w:rPr>
                <w:b/>
                <w:szCs w:val="18"/>
              </w:rPr>
              <w:t>Кандидатът носи цялата отговорност за верността на финансовата информация, представена в бюджета.</w:t>
            </w:r>
          </w:p>
        </w:tc>
      </w:tr>
    </w:tbl>
    <w:p w:rsidR="00BA669C" w:rsidRPr="00084C6E" w:rsidRDefault="00BA669C" w:rsidP="001458DB">
      <w:pPr>
        <w:rPr>
          <w:highlight w:val="yellow"/>
          <w:lang w:eastAsia="ar-SA"/>
        </w:rPr>
      </w:pPr>
    </w:p>
    <w:p w:rsidR="001458DB" w:rsidRPr="00012B5F" w:rsidRDefault="001458DB" w:rsidP="001458DB">
      <w:pPr>
        <w:ind w:left="288"/>
        <w:rPr>
          <w:lang w:eastAsia="ar-SA"/>
        </w:rPr>
      </w:pPr>
      <w:r w:rsidRPr="00012B5F">
        <w:rPr>
          <w:lang w:eastAsia="ar-SA"/>
        </w:rPr>
        <w:lastRenderedPageBreak/>
        <w:t>Инструкции за попълване на бюджета по видове разходи:</w:t>
      </w:r>
    </w:p>
    <w:p w:rsidR="00797130" w:rsidRPr="00DB7554" w:rsidRDefault="00797130" w:rsidP="001458DB">
      <w:pPr>
        <w:ind w:left="288"/>
        <w:rPr>
          <w:b/>
          <w:lang w:eastAsia="ar-SA"/>
        </w:rPr>
      </w:pPr>
      <w:r w:rsidRPr="00C30317">
        <w:rPr>
          <w:lang w:eastAsia="ar-SA"/>
        </w:rPr>
        <w:t>Допустимите преки разходи са разходите, пряко свързани с изпълнението на проекта, които са определени в настоящия документ и които следва да бъдат направени от бенефициента и / или партньора по проекта, където е приложимо, в съответствие с техните счетоводни принципи и вътрешни правила</w:t>
      </w:r>
      <w:r>
        <w:rPr>
          <w:lang w:eastAsia="ar-SA"/>
        </w:rPr>
        <w:t>.</w:t>
      </w:r>
    </w:p>
    <w:p w:rsidR="001458DB" w:rsidRDefault="004F1356" w:rsidP="003955EC">
      <w:pPr>
        <w:ind w:left="1008"/>
        <w:rPr>
          <w:lang w:eastAsia="ar-SA"/>
        </w:rPr>
      </w:pPr>
      <w:r w:rsidRPr="00DB7554">
        <w:rPr>
          <w:b/>
          <w:lang w:eastAsia="ar-SA"/>
        </w:rPr>
        <w:t>Раздел I</w:t>
      </w:r>
      <w:r>
        <w:rPr>
          <w:b/>
          <w:lang w:val="en-US" w:eastAsia="ar-SA"/>
        </w:rPr>
        <w:t xml:space="preserve"> </w:t>
      </w:r>
      <w:r w:rsidRPr="00012B5F">
        <w:rPr>
          <w:lang w:eastAsia="ar-SA"/>
        </w:rPr>
        <w:t xml:space="preserve"> </w:t>
      </w:r>
      <w:r w:rsidR="001458DB" w:rsidRPr="00012B5F">
        <w:rPr>
          <w:lang w:eastAsia="ar-SA"/>
        </w:rPr>
        <w:t xml:space="preserve">Разходи за </w:t>
      </w:r>
      <w:r w:rsidR="00056742">
        <w:rPr>
          <w:lang w:eastAsia="ar-SA"/>
        </w:rPr>
        <w:t>персонал</w:t>
      </w:r>
    </w:p>
    <w:p w:rsidR="0081330C" w:rsidRPr="003955EC" w:rsidRDefault="0081330C" w:rsidP="003955EC">
      <w:pPr>
        <w:ind w:left="1008"/>
        <w:rPr>
          <w:lang w:eastAsia="ar-SA"/>
        </w:rPr>
      </w:pPr>
      <w:r w:rsidRPr="003955EC">
        <w:rPr>
          <w:lang w:eastAsia="ar-SA"/>
        </w:rPr>
        <w:t>Това са:</w:t>
      </w:r>
    </w:p>
    <w:p w:rsidR="0081330C" w:rsidRDefault="0081330C" w:rsidP="003955EC">
      <w:pPr>
        <w:rPr>
          <w:lang w:eastAsia="ar-SA"/>
        </w:rPr>
      </w:pPr>
      <w:r>
        <w:rPr>
          <w:lang w:eastAsia="ar-SA"/>
        </w:rPr>
        <w:t xml:space="preserve">                1. Разходи за персонал.</w:t>
      </w:r>
    </w:p>
    <w:p w:rsidR="0081330C" w:rsidRPr="00012B5F" w:rsidRDefault="0081330C" w:rsidP="003955EC">
      <w:pPr>
        <w:pStyle w:val="ListParagraph"/>
        <w:ind w:left="2520" w:hanging="1527"/>
        <w:rPr>
          <w:lang w:eastAsia="ar-SA"/>
        </w:rPr>
      </w:pPr>
      <w:r>
        <w:rPr>
          <w:lang w:eastAsia="ar-SA"/>
        </w:rPr>
        <w:t>2. Разходи за управление на проекта.</w:t>
      </w:r>
    </w:p>
    <w:p w:rsidR="001458DB" w:rsidRDefault="0081330C" w:rsidP="00DB7554">
      <w:pPr>
        <w:rPr>
          <w:lang w:eastAsia="ar-SA"/>
        </w:rPr>
      </w:pPr>
      <w:r>
        <w:rPr>
          <w:lang w:eastAsia="ar-SA"/>
        </w:rPr>
        <w:t>Р</w:t>
      </w:r>
      <w:r w:rsidR="001458DB" w:rsidRPr="00012B5F">
        <w:rPr>
          <w:lang w:eastAsia="ar-SA"/>
        </w:rPr>
        <w:t>азходите за</w:t>
      </w:r>
      <w:r w:rsidR="00AB6A34" w:rsidRPr="005E009F">
        <w:rPr>
          <w:lang w:eastAsia="ar-SA"/>
        </w:rPr>
        <w:t xml:space="preserve"> </w:t>
      </w:r>
      <w:r w:rsidR="005A11C9" w:rsidRPr="00012B5F">
        <w:rPr>
          <w:lang w:eastAsia="ar-SA"/>
        </w:rPr>
        <w:t>персонал, работещ по Проекта, състоящи се от действителни заплати, вноски за социално осигуряване и други разходи по закон, включени във възнаграждението, ако това съвпада с обичайната политика на Бенефициента, съответно на Партньора, по отношение на възнагражденията. Разходите за заплати на персонала са допустими, доколкото са свързани с изпълнението на дейности, които Бенефициентът не би извършвал, ако съответният Проект не се изпълнява. При определяне на разходите за персонал на Бенефициента се прилага съответното българско законодателството.</w:t>
      </w:r>
    </w:p>
    <w:p w:rsidR="00056742" w:rsidRDefault="00056742" w:rsidP="00056742">
      <w:pPr>
        <w:rPr>
          <w:lang w:eastAsia="ar-SA"/>
        </w:rPr>
      </w:pPr>
      <w:r w:rsidRPr="00FA1FF6">
        <w:rPr>
          <w:lang w:eastAsia="ar-SA"/>
        </w:rPr>
        <w:t>В перо „Разходи за персонал” се определят разходи единствено и само за лицата, които са  определени от бенефициента за изпълнение на дейностите по проекта.</w:t>
      </w:r>
      <w:r>
        <w:rPr>
          <w:lang w:eastAsia="ar-SA"/>
        </w:rPr>
        <w:t xml:space="preserve"> </w:t>
      </w:r>
    </w:p>
    <w:p w:rsidR="00056742" w:rsidRPr="00012B5F" w:rsidRDefault="00056742" w:rsidP="00DB7554">
      <w:pPr>
        <w:rPr>
          <w:lang w:eastAsia="ar-SA"/>
        </w:rPr>
      </w:pPr>
      <w:r>
        <w:rPr>
          <w:lang w:eastAsia="ar-SA"/>
        </w:rPr>
        <w:t>В този раздел се предвиждат и разходите за екипа за организация и управление на проекта, които са преки разходи, като ръководител на проект и друг персонал, оперативно въвлечен в проекта, например за дейности, свързани с планиране, изпълнение (или мониторинг) на оперативни дейности</w:t>
      </w:r>
      <w:r w:rsidR="005F36BC">
        <w:rPr>
          <w:lang w:eastAsia="ar-SA"/>
        </w:rPr>
        <w:t>.</w:t>
      </w:r>
      <w:r>
        <w:rPr>
          <w:lang w:eastAsia="ar-SA"/>
        </w:rPr>
        <w:t xml:space="preserve">, </w:t>
      </w: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920"/>
      </w:tblGrid>
      <w:tr w:rsidR="00FE3986" w:rsidRPr="00084C6E" w:rsidTr="00B817C4">
        <w:trPr>
          <w:trHeight w:val="790"/>
        </w:trPr>
        <w:tc>
          <w:tcPr>
            <w:tcW w:w="9920" w:type="dxa"/>
            <w:tcBorders>
              <w:top w:val="single" w:sz="12" w:space="0" w:color="ED7D31"/>
              <w:left w:val="single" w:sz="12" w:space="0" w:color="ED7D31"/>
              <w:bottom w:val="single" w:sz="12" w:space="0" w:color="ED7D31"/>
              <w:right w:val="single" w:sz="12" w:space="0" w:color="ED7D31"/>
            </w:tcBorders>
            <w:vAlign w:val="center"/>
          </w:tcPr>
          <w:p w:rsidR="00FE3986" w:rsidRPr="00012B5F" w:rsidRDefault="00FE3986" w:rsidP="00B817C4">
            <w:pPr>
              <w:rPr>
                <w:b/>
                <w:szCs w:val="18"/>
              </w:rPr>
            </w:pPr>
            <w:r w:rsidRPr="00012B5F">
              <w:rPr>
                <w:b/>
                <w:szCs w:val="18"/>
              </w:rPr>
              <w:t>ВАЖНО!</w:t>
            </w:r>
          </w:p>
          <w:p w:rsidR="00056742" w:rsidRDefault="00056742" w:rsidP="00FE3986">
            <w:pPr>
              <w:ind w:left="288"/>
              <w:rPr>
                <w:lang w:eastAsia="ar-SA"/>
              </w:rPr>
            </w:pPr>
            <w:r w:rsidRPr="00056742">
              <w:rPr>
                <w:lang w:eastAsia="ar-SA"/>
              </w:rPr>
              <w:t xml:space="preserve">Разходите за управление на проекта са допустими до 7 на сто от общите допустими преки разходи по проекта. "Разходи за управление" са преки разходи, свързани с възнагражденията </w:t>
            </w:r>
            <w:r w:rsidR="00D31D2F" w:rsidRPr="00056742">
              <w:rPr>
                <w:lang w:eastAsia="ar-SA"/>
              </w:rPr>
              <w:t>на</w:t>
            </w:r>
            <w:r w:rsidRPr="00056742">
              <w:rPr>
                <w:lang w:eastAsia="ar-SA"/>
              </w:rPr>
              <w:t xml:space="preserve"> персонала по администриране на проекта – ръководител на проект, координатор, технически сътрудник и счетоводител.</w:t>
            </w:r>
          </w:p>
          <w:p w:rsidR="00FE3986" w:rsidRPr="00067792" w:rsidRDefault="00FE3986" w:rsidP="00FE3986">
            <w:pPr>
              <w:ind w:left="288"/>
              <w:rPr>
                <w:lang w:eastAsia="ar-SA"/>
              </w:rPr>
            </w:pPr>
            <w:r w:rsidRPr="00067792">
              <w:rPr>
                <w:lang w:eastAsia="ar-SA"/>
              </w:rPr>
              <w:t xml:space="preserve">Разходите за </w:t>
            </w:r>
            <w:r w:rsidR="0030636B" w:rsidRPr="00067792">
              <w:rPr>
                <w:lang w:eastAsia="ar-SA"/>
              </w:rPr>
              <w:t>трудови и други възнаграждения на физически лица по трудови</w:t>
            </w:r>
            <w:r w:rsidR="00C170C6" w:rsidRPr="00067792">
              <w:rPr>
                <w:lang w:eastAsia="ar-SA"/>
              </w:rPr>
              <w:t>/служебни</w:t>
            </w:r>
            <w:r w:rsidR="0030636B" w:rsidRPr="00067792">
              <w:rPr>
                <w:lang w:eastAsia="ar-SA"/>
              </w:rPr>
              <w:t xml:space="preserve"> и </w:t>
            </w:r>
            <w:r w:rsidR="000005EB" w:rsidRPr="0014082E">
              <w:rPr>
                <w:lang w:eastAsia="ar-SA"/>
              </w:rPr>
              <w:t>граждански</w:t>
            </w:r>
            <w:r w:rsidR="0030636B" w:rsidRPr="0014082E">
              <w:rPr>
                <w:lang w:eastAsia="ar-SA"/>
              </w:rPr>
              <w:t xml:space="preserve"> </w:t>
            </w:r>
            <w:r w:rsidR="0030636B" w:rsidRPr="00067792">
              <w:rPr>
                <w:lang w:eastAsia="ar-SA"/>
              </w:rPr>
              <w:t>правоотношения</w:t>
            </w:r>
            <w:r w:rsidRPr="00067792">
              <w:rPr>
                <w:lang w:eastAsia="ar-SA"/>
              </w:rPr>
              <w:t xml:space="preserve"> на персонала са допустими до размера, съответстващ на обичайната политика за възнаграждения на </w:t>
            </w:r>
            <w:r w:rsidR="00FA39C9" w:rsidRPr="00067792">
              <w:rPr>
                <w:lang w:eastAsia="ar-SA"/>
              </w:rPr>
              <w:t>бенефициента</w:t>
            </w:r>
            <w:r w:rsidRPr="00067792">
              <w:rPr>
                <w:lang w:eastAsia="ar-SA"/>
              </w:rPr>
              <w:t>.</w:t>
            </w:r>
          </w:p>
          <w:p w:rsidR="00262E83" w:rsidRPr="00067792" w:rsidRDefault="00262E83" w:rsidP="00FE3986">
            <w:pPr>
              <w:ind w:left="288"/>
              <w:rPr>
                <w:lang w:eastAsia="ar-SA"/>
              </w:rPr>
            </w:pPr>
            <w:r w:rsidRPr="00067792">
              <w:rPr>
                <w:lang w:eastAsia="ar-SA"/>
              </w:rPr>
              <w:t>Кандидатът следва да спазва изискванията на Наредбата за заплатите на държавните служители при определянето на възнаграждения на служители от неговата администрация.</w:t>
            </w:r>
          </w:p>
          <w:p w:rsidR="00FE3986" w:rsidRDefault="00FE3986" w:rsidP="00FE3986">
            <w:pPr>
              <w:ind w:left="288"/>
              <w:rPr>
                <w:lang w:eastAsia="ar-SA"/>
              </w:rPr>
            </w:pPr>
            <w:r w:rsidRPr="00067792">
              <w:rPr>
                <w:lang w:eastAsia="ar-SA"/>
              </w:rPr>
              <w:t>В случаите, когато възнаграждението е предвидено за ръководител на проекта, координатор и счетоводител и те не са част от персонала на АУЕР и / или са от друга държава / други страни, то трябва да бъде планирано в предложението за проект, в съответствие с пазарните ставки за възнаграждение за въпросните дейности в съответната страна.</w:t>
            </w:r>
          </w:p>
          <w:p w:rsidR="000B172B" w:rsidRPr="00084C6E" w:rsidRDefault="000B172B" w:rsidP="002F76EB">
            <w:pPr>
              <w:ind w:left="288"/>
              <w:rPr>
                <w:highlight w:val="yellow"/>
                <w:lang w:eastAsia="ar-SA"/>
              </w:rPr>
            </w:pPr>
            <w:r w:rsidRPr="000B172B">
              <w:rPr>
                <w:lang w:eastAsia="ar-SA"/>
              </w:rPr>
              <w:t xml:space="preserve">Разходите Партньора се попълват в </w:t>
            </w:r>
            <w:r w:rsidR="002F76EB">
              <w:rPr>
                <w:lang w:eastAsia="ar-SA"/>
              </w:rPr>
              <w:t>отделни бюджетни редове.</w:t>
            </w:r>
          </w:p>
        </w:tc>
      </w:tr>
    </w:tbl>
    <w:p w:rsidR="00423308" w:rsidRDefault="00423308" w:rsidP="003955EC">
      <w:pPr>
        <w:rPr>
          <w:lang w:eastAsia="ar-SA"/>
        </w:rPr>
      </w:pPr>
      <w:r w:rsidRPr="00D1354E">
        <w:rPr>
          <w:lang w:eastAsia="ar-SA"/>
        </w:rPr>
        <w:t xml:space="preserve">В този раздел се посочват и разходите за материали и консумативи, които могат да възникнат във връзка с изпълнението на проекта. </w:t>
      </w:r>
    </w:p>
    <w:p w:rsidR="00102C60" w:rsidRDefault="00102C60" w:rsidP="003955EC">
      <w:pPr>
        <w:rPr>
          <w:lang w:eastAsia="ar-SA"/>
        </w:rPr>
      </w:pP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920"/>
      </w:tblGrid>
      <w:tr w:rsidR="00423308" w:rsidRPr="00084C6E" w:rsidTr="00423308">
        <w:trPr>
          <w:trHeight w:val="790"/>
        </w:trPr>
        <w:tc>
          <w:tcPr>
            <w:tcW w:w="9920" w:type="dxa"/>
            <w:tcBorders>
              <w:top w:val="single" w:sz="12" w:space="0" w:color="ED7D31"/>
              <w:left w:val="single" w:sz="12" w:space="0" w:color="ED7D31"/>
              <w:bottom w:val="single" w:sz="12" w:space="0" w:color="ED7D31"/>
              <w:right w:val="single" w:sz="12" w:space="0" w:color="ED7D31"/>
            </w:tcBorders>
            <w:vAlign w:val="center"/>
          </w:tcPr>
          <w:p w:rsidR="00423308" w:rsidRPr="00345F42" w:rsidRDefault="00423308" w:rsidP="00423308">
            <w:pPr>
              <w:rPr>
                <w:b/>
                <w:szCs w:val="18"/>
              </w:rPr>
            </w:pPr>
            <w:r w:rsidRPr="00345F42">
              <w:rPr>
                <w:b/>
                <w:szCs w:val="18"/>
              </w:rPr>
              <w:t>ВАЖНО!</w:t>
            </w:r>
          </w:p>
          <w:p w:rsidR="00423308" w:rsidRPr="00084C6E" w:rsidRDefault="00423308" w:rsidP="00102C60">
            <w:pPr>
              <w:ind w:left="288"/>
              <w:rPr>
                <w:highlight w:val="yellow"/>
                <w:lang w:eastAsia="ar-SA"/>
              </w:rPr>
            </w:pPr>
            <w:r w:rsidRPr="00345F42">
              <w:rPr>
                <w:lang w:eastAsia="ar-SA"/>
              </w:rPr>
              <w:t xml:space="preserve">Разходите за материали и консумативи са допустими за бенефициента и партньора по проекта и се посочват в </w:t>
            </w:r>
            <w:r w:rsidR="00102C60">
              <w:rPr>
                <w:lang w:eastAsia="ar-SA"/>
              </w:rPr>
              <w:t>отделни редове</w:t>
            </w:r>
            <w:r w:rsidRPr="00345F42">
              <w:rPr>
                <w:lang w:eastAsia="ar-SA"/>
              </w:rPr>
              <w:t xml:space="preserve"> на бюджета, когато е необходимо да се планира такъв. </w:t>
            </w:r>
          </w:p>
        </w:tc>
      </w:tr>
    </w:tbl>
    <w:p w:rsidR="00FE3986" w:rsidRPr="00084C6E" w:rsidRDefault="00FE3986" w:rsidP="001458DB">
      <w:pPr>
        <w:ind w:left="288"/>
        <w:rPr>
          <w:highlight w:val="yellow"/>
          <w:lang w:eastAsia="ar-SA"/>
        </w:rPr>
      </w:pPr>
    </w:p>
    <w:p w:rsidR="0081330C" w:rsidRDefault="004F1356" w:rsidP="003955EC">
      <w:pPr>
        <w:ind w:left="1008"/>
        <w:rPr>
          <w:lang w:val="en-US" w:eastAsia="ar-SA"/>
        </w:rPr>
      </w:pPr>
      <w:r w:rsidRPr="003955EC">
        <w:rPr>
          <w:b/>
          <w:lang w:eastAsia="ar-SA"/>
        </w:rPr>
        <w:t xml:space="preserve">Раздел </w:t>
      </w:r>
      <w:r w:rsidRPr="003955EC">
        <w:rPr>
          <w:b/>
          <w:lang w:val="en-US" w:eastAsia="ar-SA"/>
        </w:rPr>
        <w:t>II</w:t>
      </w:r>
      <w:r>
        <w:rPr>
          <w:lang w:val="en-US" w:eastAsia="ar-SA"/>
        </w:rPr>
        <w:t xml:space="preserve"> </w:t>
      </w:r>
      <w:r w:rsidR="0073412E" w:rsidRPr="0073412E">
        <w:rPr>
          <w:lang w:eastAsia="ar-SA"/>
        </w:rPr>
        <w:t>Разходи за провеждане и участие в мероприятия</w:t>
      </w:r>
    </w:p>
    <w:p w:rsidR="0081330C" w:rsidRDefault="0081330C" w:rsidP="003955EC">
      <w:pPr>
        <w:ind w:left="1008"/>
        <w:rPr>
          <w:lang w:eastAsia="ar-SA"/>
        </w:rPr>
      </w:pPr>
      <w:r>
        <w:rPr>
          <w:lang w:eastAsia="ar-SA"/>
        </w:rPr>
        <w:t>Това са разходите за:</w:t>
      </w:r>
    </w:p>
    <w:p w:rsidR="0081330C" w:rsidRDefault="0081330C" w:rsidP="003955EC">
      <w:pPr>
        <w:ind w:left="1008"/>
        <w:rPr>
          <w:lang w:eastAsia="ar-SA"/>
        </w:rPr>
      </w:pPr>
      <w:r>
        <w:rPr>
          <w:lang w:eastAsia="ar-SA"/>
        </w:rPr>
        <w:t>3. Командировки в страната.</w:t>
      </w:r>
    </w:p>
    <w:p w:rsidR="001458DB" w:rsidRPr="00F13B29" w:rsidRDefault="0081330C" w:rsidP="003955EC">
      <w:pPr>
        <w:ind w:left="1008"/>
        <w:rPr>
          <w:lang w:eastAsia="ar-SA"/>
        </w:rPr>
      </w:pPr>
      <w:r>
        <w:rPr>
          <w:lang w:eastAsia="ar-SA"/>
        </w:rPr>
        <w:t>4. Командировки в чужбина.</w:t>
      </w:r>
    </w:p>
    <w:p w:rsidR="005F1FEF" w:rsidRPr="00C30317" w:rsidRDefault="005F1FEF" w:rsidP="001458DB">
      <w:pPr>
        <w:ind w:left="288"/>
        <w:rPr>
          <w:lang w:eastAsia="ar-SA"/>
        </w:rPr>
      </w:pPr>
      <w:r w:rsidRPr="005F1FEF">
        <w:rPr>
          <w:lang w:eastAsia="ar-SA"/>
        </w:rPr>
        <w:t xml:space="preserve">В този раздел се планират </w:t>
      </w:r>
      <w:r w:rsidR="004E1711">
        <w:rPr>
          <w:lang w:eastAsia="ar-SA"/>
        </w:rPr>
        <w:t>р</w:t>
      </w:r>
      <w:r w:rsidRPr="005F1FEF">
        <w:rPr>
          <w:lang w:eastAsia="ar-SA"/>
        </w:rPr>
        <w:t xml:space="preserve">азходите за командировки </w:t>
      </w:r>
      <w:r w:rsidR="004E1711">
        <w:rPr>
          <w:lang w:eastAsia="ar-SA"/>
        </w:rPr>
        <w:t>–</w:t>
      </w:r>
      <w:r w:rsidR="000B0065">
        <w:rPr>
          <w:lang w:eastAsia="ar-SA"/>
        </w:rPr>
        <w:t xml:space="preserve"> </w:t>
      </w:r>
      <w:r w:rsidR="000B0065" w:rsidRPr="00651188">
        <w:rPr>
          <w:lang w:eastAsia="ar-SA"/>
        </w:rPr>
        <w:t>пътни,</w:t>
      </w:r>
      <w:r w:rsidR="000B0065">
        <w:rPr>
          <w:lang w:eastAsia="ar-SA"/>
        </w:rPr>
        <w:t xml:space="preserve"> </w:t>
      </w:r>
      <w:r w:rsidR="000B0065" w:rsidRPr="00651188">
        <w:rPr>
          <w:lang w:eastAsia="ar-SA"/>
        </w:rPr>
        <w:t>дневни</w:t>
      </w:r>
      <w:r w:rsidR="004E1F7C">
        <w:rPr>
          <w:lang w:eastAsia="ar-SA"/>
        </w:rPr>
        <w:t xml:space="preserve"> и</w:t>
      </w:r>
      <w:r w:rsidR="000B0065">
        <w:rPr>
          <w:lang w:eastAsia="ar-SA"/>
        </w:rPr>
        <w:t xml:space="preserve"> </w:t>
      </w:r>
      <w:r w:rsidR="000B0065" w:rsidRPr="00651188">
        <w:rPr>
          <w:lang w:eastAsia="ar-SA"/>
        </w:rPr>
        <w:t>квартирни</w:t>
      </w:r>
      <w:r w:rsidR="000B0065">
        <w:rPr>
          <w:lang w:eastAsia="ar-SA"/>
        </w:rPr>
        <w:t xml:space="preserve"> </w:t>
      </w:r>
      <w:r w:rsidR="000B0065" w:rsidRPr="00651188">
        <w:rPr>
          <w:lang w:eastAsia="ar-SA"/>
        </w:rPr>
        <w:t>разходи</w:t>
      </w:r>
      <w:r w:rsidR="000B0065" w:rsidRPr="005F1FEF">
        <w:rPr>
          <w:lang w:eastAsia="ar-SA"/>
        </w:rPr>
        <w:t xml:space="preserve"> </w:t>
      </w:r>
      <w:r w:rsidRPr="005F1FEF">
        <w:rPr>
          <w:lang w:eastAsia="ar-SA"/>
        </w:rPr>
        <w:t>(в страната и чужбина) на персонала, участващ в дейностите по проекта във връзка с изпълнението на проекта. В определени случаи ПО може да одобри използването на „еднократна обща сума“ (</w:t>
      </w:r>
      <w:proofErr w:type="spellStart"/>
      <w:r w:rsidRPr="005F1FEF">
        <w:rPr>
          <w:lang w:eastAsia="ar-SA"/>
        </w:rPr>
        <w:t>lump</w:t>
      </w:r>
      <w:proofErr w:type="spellEnd"/>
      <w:r w:rsidRPr="005F1FEF">
        <w:rPr>
          <w:lang w:eastAsia="ar-SA"/>
        </w:rPr>
        <w:t xml:space="preserve"> </w:t>
      </w:r>
      <w:proofErr w:type="spellStart"/>
      <w:r w:rsidRPr="005F1FEF">
        <w:rPr>
          <w:lang w:eastAsia="ar-SA"/>
        </w:rPr>
        <w:t>sum</w:t>
      </w:r>
      <w:proofErr w:type="spellEnd"/>
      <w:r w:rsidRPr="005F1FEF">
        <w:rPr>
          <w:lang w:eastAsia="ar-SA"/>
        </w:rPr>
        <w:t>) при разходите за командировки</w:t>
      </w:r>
      <w:r w:rsidR="008A7D98">
        <w:rPr>
          <w:lang w:eastAsia="ar-SA"/>
        </w:rPr>
        <w:t>,</w:t>
      </w:r>
      <w:r w:rsidRPr="005F1FEF">
        <w:rPr>
          <w:lang w:eastAsia="ar-SA"/>
        </w:rPr>
        <w:t xml:space="preserve"> спазвайки принципа на пропорционалност</w:t>
      </w:r>
      <w:r>
        <w:rPr>
          <w:lang w:eastAsia="ar-SA"/>
        </w:rPr>
        <w:t>.</w:t>
      </w: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920"/>
      </w:tblGrid>
      <w:tr w:rsidR="008B17FB" w:rsidRPr="00084C6E" w:rsidTr="00B817C4">
        <w:trPr>
          <w:trHeight w:val="790"/>
        </w:trPr>
        <w:tc>
          <w:tcPr>
            <w:tcW w:w="9920" w:type="dxa"/>
            <w:tcBorders>
              <w:top w:val="single" w:sz="12" w:space="0" w:color="ED7D31"/>
              <w:left w:val="single" w:sz="12" w:space="0" w:color="ED7D31"/>
              <w:bottom w:val="single" w:sz="12" w:space="0" w:color="ED7D31"/>
              <w:right w:val="single" w:sz="12" w:space="0" w:color="ED7D31"/>
            </w:tcBorders>
            <w:vAlign w:val="center"/>
          </w:tcPr>
          <w:p w:rsidR="008B17FB" w:rsidRPr="00C30317" w:rsidRDefault="008B17FB" w:rsidP="00B817C4">
            <w:pPr>
              <w:rPr>
                <w:b/>
                <w:szCs w:val="18"/>
              </w:rPr>
            </w:pPr>
            <w:r w:rsidRPr="00C30317">
              <w:rPr>
                <w:b/>
                <w:szCs w:val="18"/>
              </w:rPr>
              <w:t>ВАЖНО!</w:t>
            </w:r>
          </w:p>
          <w:p w:rsidR="006661EB" w:rsidRDefault="006661EB" w:rsidP="006661EB">
            <w:pPr>
              <w:ind w:left="288"/>
              <w:rPr>
                <w:lang w:eastAsia="ar-SA"/>
              </w:rPr>
            </w:pPr>
            <w:r>
              <w:rPr>
                <w:lang w:eastAsia="ar-SA"/>
              </w:rPr>
              <w:t>Разходите на Кандидата следва да са в съответствие с Наредбата за командировките в страната и Наредбата за служебните командировки и специализации в чужбина.</w:t>
            </w:r>
          </w:p>
          <w:p w:rsidR="006661EB" w:rsidRDefault="006661EB" w:rsidP="006661EB">
            <w:pPr>
              <w:ind w:left="288"/>
              <w:rPr>
                <w:lang w:eastAsia="ar-SA"/>
              </w:rPr>
            </w:pPr>
            <w:r>
              <w:rPr>
                <w:lang w:eastAsia="ar-SA"/>
              </w:rPr>
              <w:t>Определянето на разходите за командировки на Партньора е в съответствие с обичайната му политика.</w:t>
            </w:r>
          </w:p>
          <w:p w:rsidR="006661EB" w:rsidRDefault="006661EB" w:rsidP="006661EB">
            <w:pPr>
              <w:ind w:left="288"/>
              <w:rPr>
                <w:lang w:eastAsia="ar-SA"/>
              </w:rPr>
            </w:pPr>
            <w:r>
              <w:rPr>
                <w:lang w:eastAsia="ar-SA"/>
              </w:rPr>
              <w:t xml:space="preserve">Кандидатите следва да обосноват предвидените разходи за командировки на Бенефициента и на Партньора/и във Формуляра за кандидатстване. </w:t>
            </w:r>
          </w:p>
          <w:p w:rsidR="008B17FB" w:rsidRPr="00084C6E" w:rsidRDefault="006661EB" w:rsidP="0028099E">
            <w:pPr>
              <w:ind w:left="288"/>
              <w:rPr>
                <w:highlight w:val="yellow"/>
                <w:lang w:eastAsia="ar-SA"/>
              </w:rPr>
            </w:pPr>
            <w:r>
              <w:rPr>
                <w:lang w:eastAsia="ar-SA"/>
              </w:rPr>
              <w:t xml:space="preserve">Разходите Партньора се попълват в </w:t>
            </w:r>
            <w:r w:rsidR="0028099E">
              <w:rPr>
                <w:lang w:eastAsia="ar-SA"/>
              </w:rPr>
              <w:t>отделен бюджетен ред.</w:t>
            </w:r>
            <w:r w:rsidR="008648AF">
              <w:rPr>
                <w:lang w:eastAsia="ar-SA"/>
              </w:rPr>
              <w:t xml:space="preserve"> </w:t>
            </w:r>
          </w:p>
        </w:tc>
      </w:tr>
    </w:tbl>
    <w:p w:rsidR="003246A1" w:rsidRDefault="003246A1" w:rsidP="00E424C4">
      <w:pPr>
        <w:ind w:left="288"/>
        <w:rPr>
          <w:lang w:eastAsia="ar-SA"/>
        </w:rPr>
      </w:pPr>
    </w:p>
    <w:p w:rsidR="004F1356" w:rsidRPr="004F1356" w:rsidRDefault="004F1356" w:rsidP="001458DB">
      <w:pPr>
        <w:ind w:left="288"/>
        <w:rPr>
          <w:lang w:eastAsia="ar-SA"/>
        </w:rPr>
      </w:pPr>
      <w:r w:rsidRPr="003955EC">
        <w:rPr>
          <w:b/>
          <w:lang w:eastAsia="ar-SA"/>
        </w:rPr>
        <w:t xml:space="preserve">Раздел </w:t>
      </w:r>
      <w:r w:rsidR="00762486" w:rsidRPr="003955EC">
        <w:rPr>
          <w:b/>
          <w:lang w:val="en-US" w:eastAsia="ar-SA"/>
        </w:rPr>
        <w:t>III</w:t>
      </w:r>
      <w:r>
        <w:rPr>
          <w:lang w:val="en-US" w:eastAsia="ar-SA"/>
        </w:rPr>
        <w:t xml:space="preserve"> </w:t>
      </w:r>
      <w:r>
        <w:rPr>
          <w:lang w:eastAsia="ar-SA"/>
        </w:rPr>
        <w:t>Разходи за услуги</w:t>
      </w:r>
    </w:p>
    <w:p w:rsidR="004F1356" w:rsidRDefault="004F1356" w:rsidP="003955EC">
      <w:pPr>
        <w:ind w:left="1008"/>
        <w:rPr>
          <w:lang w:eastAsia="ar-SA"/>
        </w:rPr>
      </w:pPr>
      <w:r>
        <w:rPr>
          <w:lang w:eastAsia="ar-SA"/>
        </w:rPr>
        <w:t>Това са:</w:t>
      </w:r>
    </w:p>
    <w:p w:rsidR="00762486" w:rsidRDefault="00762486" w:rsidP="00762486">
      <w:pPr>
        <w:pStyle w:val="ListParagraph"/>
        <w:ind w:firstLine="288"/>
        <w:rPr>
          <w:lang w:eastAsia="ar-SA"/>
        </w:rPr>
      </w:pPr>
      <w:r>
        <w:rPr>
          <w:lang w:val="en-US" w:eastAsia="ar-SA"/>
        </w:rPr>
        <w:t xml:space="preserve">5. </w:t>
      </w:r>
      <w:r>
        <w:rPr>
          <w:lang w:eastAsia="ar-SA"/>
        </w:rPr>
        <w:t>Р</w:t>
      </w:r>
      <w:r w:rsidRPr="00AD5839">
        <w:rPr>
          <w:lang w:eastAsia="ar-SA"/>
        </w:rPr>
        <w:t>азходите за дейности, свързани с публичността и разпространението на информация, свързана с популяризирането на реализирания проект.</w:t>
      </w:r>
    </w:p>
    <w:p w:rsidR="001458DB" w:rsidRPr="00AD5839" w:rsidRDefault="004F1356" w:rsidP="003955EC">
      <w:pPr>
        <w:ind w:left="1008"/>
        <w:rPr>
          <w:lang w:eastAsia="ar-SA"/>
        </w:rPr>
      </w:pPr>
      <w:r>
        <w:rPr>
          <w:lang w:eastAsia="ar-SA"/>
        </w:rPr>
        <w:t>6. Р</w:t>
      </w:r>
      <w:r w:rsidR="001458DB" w:rsidRPr="00AD5839">
        <w:rPr>
          <w:lang w:eastAsia="ar-SA"/>
        </w:rPr>
        <w:t>азходи за писмени и устни преводи, произтичащи директно от дейностите по проекта и необходими за неговото изпълнение.</w:t>
      </w:r>
    </w:p>
    <w:p w:rsidR="001458DB" w:rsidRDefault="004F1356" w:rsidP="003955EC">
      <w:pPr>
        <w:ind w:left="300" w:firstLine="708"/>
        <w:rPr>
          <w:lang w:eastAsia="ar-SA"/>
        </w:rPr>
      </w:pPr>
      <w:r>
        <w:rPr>
          <w:lang w:eastAsia="ar-SA"/>
        </w:rPr>
        <w:t>7.Разходи за одит на проекта</w:t>
      </w:r>
      <w:r w:rsidR="001458DB" w:rsidRPr="00AD5839">
        <w:rPr>
          <w:lang w:eastAsia="ar-SA"/>
        </w:rPr>
        <w:t>.</w:t>
      </w:r>
    </w:p>
    <w:p w:rsidR="004F1356" w:rsidRPr="00AD5839" w:rsidRDefault="004F1356" w:rsidP="003955EC">
      <w:pPr>
        <w:ind w:left="300" w:firstLine="708"/>
        <w:rPr>
          <w:lang w:eastAsia="ar-SA"/>
        </w:rPr>
      </w:pPr>
      <w:r>
        <w:rPr>
          <w:lang w:eastAsia="ar-SA"/>
        </w:rPr>
        <w:t>8. Други външни услуги.</w:t>
      </w:r>
    </w:p>
    <w:p w:rsidR="001458DB" w:rsidRDefault="004F1356" w:rsidP="003955EC">
      <w:pPr>
        <w:ind w:left="300" w:firstLine="348"/>
        <w:rPr>
          <w:lang w:eastAsia="ar-SA"/>
        </w:rPr>
      </w:pPr>
      <w:r>
        <w:rPr>
          <w:lang w:eastAsia="ar-SA"/>
        </w:rPr>
        <w:t xml:space="preserve">      </w:t>
      </w:r>
      <w:r w:rsidR="001458DB" w:rsidRPr="00AD5839">
        <w:rPr>
          <w:lang w:eastAsia="ar-SA"/>
        </w:rPr>
        <w:t>Това са разходите, свързани с процедурите за избор на изпълнител, извършени от</w:t>
      </w:r>
      <w:r w:rsidR="00E97F43">
        <w:rPr>
          <w:lang w:eastAsia="ar-SA"/>
        </w:rPr>
        <w:t xml:space="preserve"> бенефициента</w:t>
      </w:r>
      <w:r w:rsidR="001458DB" w:rsidRPr="00AD5839">
        <w:rPr>
          <w:lang w:eastAsia="ar-SA"/>
        </w:rPr>
        <w:t>. Тези разходи трябва да бъдат о</w:t>
      </w:r>
      <w:r w:rsidR="006140F3" w:rsidRPr="00AD5839">
        <w:rPr>
          <w:lang w:eastAsia="ar-SA"/>
        </w:rPr>
        <w:t>писани п</w:t>
      </w:r>
      <w:r w:rsidR="001458DB" w:rsidRPr="00AD5839">
        <w:rPr>
          <w:lang w:eastAsia="ar-SA"/>
        </w:rPr>
        <w:t>о видове.</w:t>
      </w:r>
    </w:p>
    <w:p w:rsidR="001458DB" w:rsidRPr="00AD5839" w:rsidRDefault="00E97F43" w:rsidP="001458DB">
      <w:pPr>
        <w:ind w:left="288"/>
        <w:rPr>
          <w:lang w:eastAsia="ar-SA"/>
        </w:rPr>
      </w:pPr>
      <w:r w:rsidRPr="00DB7554">
        <w:rPr>
          <w:b/>
          <w:lang w:eastAsia="ar-SA"/>
        </w:rPr>
        <w:t>Раздел</w:t>
      </w:r>
      <w:r w:rsidR="004F1356">
        <w:rPr>
          <w:b/>
          <w:lang w:eastAsia="ar-SA"/>
        </w:rPr>
        <w:t xml:space="preserve"> </w:t>
      </w:r>
      <w:r w:rsidR="0028099E">
        <w:rPr>
          <w:b/>
          <w:lang w:val="en-US" w:eastAsia="ar-SA"/>
        </w:rPr>
        <w:t>I</w:t>
      </w:r>
      <w:r w:rsidR="004F1356">
        <w:rPr>
          <w:b/>
          <w:lang w:val="en-US" w:eastAsia="ar-SA"/>
        </w:rPr>
        <w:t>V</w:t>
      </w:r>
      <w:r w:rsidR="001458DB" w:rsidRPr="00DB7554">
        <w:rPr>
          <w:b/>
          <w:lang w:eastAsia="ar-SA"/>
        </w:rPr>
        <w:t>.</w:t>
      </w:r>
      <w:r w:rsidR="001458DB" w:rsidRPr="00AD5839">
        <w:rPr>
          <w:lang w:eastAsia="ar-SA"/>
        </w:rPr>
        <w:t xml:space="preserve"> Допустими непреки разходи – виж т.10.2.2.</w:t>
      </w:r>
    </w:p>
    <w:p w:rsidR="001458DB" w:rsidRDefault="00E97F43" w:rsidP="001458DB">
      <w:pPr>
        <w:ind w:left="288"/>
        <w:rPr>
          <w:lang w:eastAsia="ar-SA"/>
        </w:rPr>
      </w:pPr>
      <w:r w:rsidRPr="00DB7554">
        <w:rPr>
          <w:b/>
          <w:lang w:eastAsia="ar-SA"/>
        </w:rPr>
        <w:t xml:space="preserve">Раздел </w:t>
      </w:r>
      <w:r w:rsidR="004F1356">
        <w:rPr>
          <w:b/>
          <w:lang w:val="en-US" w:eastAsia="ar-SA"/>
        </w:rPr>
        <w:t>V</w:t>
      </w:r>
      <w:r w:rsidR="001458DB" w:rsidRPr="00AD5839">
        <w:rPr>
          <w:lang w:eastAsia="ar-SA"/>
        </w:rPr>
        <w:t>. Невъзстановим ДДС.</w:t>
      </w:r>
    </w:p>
    <w:p w:rsidR="00FA4C66" w:rsidRPr="00AD5839" w:rsidRDefault="00FA4C66" w:rsidP="00FA4C66">
      <w:pPr>
        <w:ind w:left="288"/>
        <w:rPr>
          <w:lang w:eastAsia="ar-SA"/>
        </w:rPr>
      </w:pPr>
      <w:r>
        <w:rPr>
          <w:lang w:eastAsia="ar-SA"/>
        </w:rPr>
        <w:lastRenderedPageBreak/>
        <w:t>Т</w:t>
      </w:r>
      <w:r w:rsidRPr="00670FB4">
        <w:rPr>
          <w:lang w:eastAsia="ar-SA"/>
        </w:rPr>
        <w:t xml:space="preserve">ретирането на ДДС като невъзстановим разход, допустим при изпълнение на проекти, е представено в Указание на Министерство на финансите </w:t>
      </w:r>
      <w:proofErr w:type="spellStart"/>
      <w:r w:rsidRPr="00670FB4">
        <w:rPr>
          <w:lang w:eastAsia="ar-SA"/>
        </w:rPr>
        <w:t>ДНФ</w:t>
      </w:r>
      <w:proofErr w:type="spellEnd"/>
      <w:r w:rsidRPr="00670FB4">
        <w:rPr>
          <w:lang w:eastAsia="ar-SA"/>
        </w:rPr>
        <w:t xml:space="preserve"> № 3 от 23.12.2016 г. за третиране на данък върху добавената стойност като допустим разход при изпълнение на проекти по оперативните програми, съфинансирани от Европейския фонд за регионално развитие, Европейския социален фонд, Кохезионния фонд на Европейския съюз и от Европейския фонд за морско дело и рибарство за програмен период 2014–2020 г. Кандидатът следва да попълни Декларация относно статута по ЗДДС (Приложение </w:t>
      </w:r>
      <w:r>
        <w:rPr>
          <w:lang w:eastAsia="ar-SA"/>
        </w:rPr>
        <w:t>2</w:t>
      </w:r>
      <w:r w:rsidRPr="00670FB4">
        <w:rPr>
          <w:lang w:eastAsia="ar-SA"/>
        </w:rPr>
        <w:t>)</w:t>
      </w:r>
    </w:p>
    <w:p w:rsidR="001458DB" w:rsidRPr="00AD5839" w:rsidRDefault="001458DB" w:rsidP="003102EF">
      <w:pPr>
        <w:keepNext/>
        <w:ind w:left="289"/>
        <w:rPr>
          <w:b/>
          <w:lang w:eastAsia="ar-SA"/>
        </w:rPr>
      </w:pPr>
      <w:r w:rsidRPr="00AD5839">
        <w:rPr>
          <w:b/>
          <w:lang w:eastAsia="ar-SA"/>
        </w:rPr>
        <w:t>Доказателство за разходите</w:t>
      </w:r>
    </w:p>
    <w:p w:rsidR="00E424C4" w:rsidRPr="00E424C4" w:rsidRDefault="00E424C4" w:rsidP="00E424C4">
      <w:pPr>
        <w:rPr>
          <w:szCs w:val="18"/>
          <w:lang w:eastAsia="ar-SA"/>
        </w:rPr>
      </w:pPr>
      <w:bookmarkStart w:id="26" w:name="_Toc4745726"/>
      <w:r w:rsidRPr="00E424C4">
        <w:rPr>
          <w:szCs w:val="18"/>
          <w:lang w:eastAsia="ar-SA"/>
        </w:rPr>
        <w:t>Извършените от бенефициентите, проектния партньор разходи е необходимо да бъдат документално обосновани с фактури и/или други първични счетоводни документи.</w:t>
      </w:r>
    </w:p>
    <w:p w:rsidR="00E424C4" w:rsidRPr="00E424C4" w:rsidRDefault="00E424C4" w:rsidP="00E424C4">
      <w:pPr>
        <w:rPr>
          <w:szCs w:val="18"/>
          <w:lang w:eastAsia="ar-SA"/>
        </w:rPr>
      </w:pPr>
      <w:r w:rsidRPr="00E424C4">
        <w:rPr>
          <w:szCs w:val="18"/>
          <w:lang w:eastAsia="ar-SA"/>
        </w:rPr>
        <w:t>Документални доказателства за извършен разход:</w:t>
      </w:r>
    </w:p>
    <w:p w:rsidR="00E424C4" w:rsidRPr="00E424C4" w:rsidRDefault="00677726" w:rsidP="00E424C4">
      <w:pPr>
        <w:numPr>
          <w:ilvl w:val="0"/>
          <w:numId w:val="13"/>
        </w:numPr>
        <w:ind w:left="709" w:hanging="421"/>
        <w:rPr>
          <w:szCs w:val="18"/>
          <w:lang w:eastAsia="ar-SA"/>
        </w:rPr>
      </w:pPr>
      <w:r w:rsidRPr="00677726">
        <w:rPr>
          <w:szCs w:val="18"/>
          <w:lang w:eastAsia="ar-SA"/>
        </w:rPr>
        <w:t>за трудови договори и/или заповед по Закона за държавния служител – договор/заповед, длъжностна характеристика (официална), отчет за извършената работа и изработено време, платежна ведомост, платежно нареждане (банково извлечение) /касова книга и др.</w:t>
      </w:r>
      <w:r w:rsidR="00E424C4" w:rsidRPr="00E424C4">
        <w:rPr>
          <w:szCs w:val="18"/>
          <w:lang w:eastAsia="ar-SA"/>
        </w:rPr>
        <w:t>;</w:t>
      </w:r>
    </w:p>
    <w:p w:rsidR="00E424C4" w:rsidRPr="00E424C4" w:rsidRDefault="00E424C4" w:rsidP="00E424C4">
      <w:pPr>
        <w:numPr>
          <w:ilvl w:val="0"/>
          <w:numId w:val="13"/>
        </w:numPr>
        <w:ind w:left="709" w:hanging="421"/>
        <w:rPr>
          <w:szCs w:val="18"/>
          <w:lang w:eastAsia="ar-SA"/>
        </w:rPr>
      </w:pPr>
      <w:r w:rsidRPr="00E424C4">
        <w:rPr>
          <w:szCs w:val="18"/>
          <w:lang w:eastAsia="ar-SA"/>
        </w:rPr>
        <w:t>за граждански договори – договор, отчет за извършената работа</w:t>
      </w:r>
      <w:r w:rsidRPr="00ED0C4C">
        <w:rPr>
          <w:szCs w:val="18"/>
          <w:lang w:eastAsia="ar-SA"/>
        </w:rPr>
        <w:t xml:space="preserve"> </w:t>
      </w:r>
      <w:r w:rsidRPr="00E424C4">
        <w:rPr>
          <w:szCs w:val="18"/>
          <w:lang w:eastAsia="ar-SA"/>
        </w:rPr>
        <w:t>и</w:t>
      </w:r>
      <w:r w:rsidRPr="00ED0C4C">
        <w:rPr>
          <w:szCs w:val="18"/>
          <w:lang w:eastAsia="ar-SA"/>
        </w:rPr>
        <w:t xml:space="preserve"> </w:t>
      </w:r>
      <w:r w:rsidRPr="00E424C4">
        <w:rPr>
          <w:szCs w:val="18"/>
          <w:lang w:eastAsia="ar-SA"/>
        </w:rPr>
        <w:t>изработено време, сметка за изплатени суми, протокол за приемане на работата, платежно нареждане (банково извлечение)</w:t>
      </w:r>
      <w:r w:rsidRPr="00E424C4">
        <w:rPr>
          <w:rFonts w:eastAsia="Calibri"/>
          <w:szCs w:val="18"/>
        </w:rPr>
        <w:t>/касова книга</w:t>
      </w:r>
      <w:r w:rsidRPr="00E424C4">
        <w:rPr>
          <w:szCs w:val="18"/>
          <w:lang w:eastAsia="ar-SA"/>
        </w:rPr>
        <w:t xml:space="preserve">), фактура, ако е </w:t>
      </w:r>
      <w:proofErr w:type="spellStart"/>
      <w:r w:rsidRPr="00E424C4">
        <w:rPr>
          <w:szCs w:val="18"/>
          <w:lang w:eastAsia="ar-SA"/>
        </w:rPr>
        <w:t>самоосигуряващо</w:t>
      </w:r>
      <w:proofErr w:type="spellEnd"/>
      <w:r w:rsidRPr="00E424C4">
        <w:rPr>
          <w:szCs w:val="18"/>
          <w:lang w:eastAsia="ar-SA"/>
        </w:rPr>
        <w:t xml:space="preserve"> се лице;</w:t>
      </w:r>
    </w:p>
    <w:p w:rsidR="00E424C4" w:rsidRPr="00E424C4" w:rsidRDefault="00E424C4" w:rsidP="00E424C4">
      <w:pPr>
        <w:numPr>
          <w:ilvl w:val="0"/>
          <w:numId w:val="13"/>
        </w:numPr>
        <w:ind w:left="284" w:firstLine="0"/>
        <w:rPr>
          <w:szCs w:val="18"/>
          <w:lang w:eastAsia="ar-SA"/>
        </w:rPr>
      </w:pPr>
      <w:r w:rsidRPr="00E424C4">
        <w:rPr>
          <w:szCs w:val="18"/>
          <w:lang w:eastAsia="ar-SA"/>
        </w:rPr>
        <w:t>за командировки в страната и/или в чужбина – заповед за командировка от ръководителя на бенефициента,</w:t>
      </w:r>
      <w:r w:rsidRPr="00E424C4">
        <w:rPr>
          <w:rFonts w:eastAsia="Calibri"/>
          <w:szCs w:val="18"/>
        </w:rPr>
        <w:t xml:space="preserve"> в която изрично е посочено, че разходите са за сметка на проекта, покана за участие в събитие (ако е приложимо), дневен ред на събитието,</w:t>
      </w:r>
      <w:r w:rsidRPr="00E424C4">
        <w:rPr>
          <w:szCs w:val="18"/>
          <w:lang w:eastAsia="ar-SA"/>
        </w:rPr>
        <w:t xml:space="preserve"> фактури за нощувки, разход на гориво съгласно документи от производителя, фактури за гориво, </w:t>
      </w:r>
      <w:r w:rsidRPr="00E424C4">
        <w:rPr>
          <w:rFonts w:eastAsia="Calibri"/>
          <w:szCs w:val="18"/>
        </w:rPr>
        <w:t>пътна книжка на автомобила, ако пътуването е със служебен автомобил,</w:t>
      </w:r>
      <w:r w:rsidRPr="00E424C4">
        <w:rPr>
          <w:szCs w:val="18"/>
          <w:lang w:eastAsia="ar-SA"/>
        </w:rPr>
        <w:t xml:space="preserve"> билети за обществен транспорт, ред за определяне на разходните лимити за командировки в страната, отчет на командировката, бордни карти, протокол за самолетни билети, документ за изплатени суми на командированото лице, </w:t>
      </w:r>
      <w:r w:rsidRPr="00E424C4">
        <w:rPr>
          <w:rFonts w:eastAsia="Calibri"/>
          <w:szCs w:val="18"/>
        </w:rPr>
        <w:t>банково извлечение/касова книга;</w:t>
      </w:r>
    </w:p>
    <w:p w:rsidR="00E424C4" w:rsidRPr="00E424C4" w:rsidRDefault="00E424C4" w:rsidP="00E424C4">
      <w:pPr>
        <w:numPr>
          <w:ilvl w:val="0"/>
          <w:numId w:val="13"/>
        </w:numPr>
        <w:ind w:left="709" w:hanging="421"/>
        <w:rPr>
          <w:szCs w:val="18"/>
          <w:lang w:eastAsia="ar-SA"/>
        </w:rPr>
      </w:pPr>
      <w:r w:rsidRPr="00E424C4">
        <w:rPr>
          <w:szCs w:val="18"/>
          <w:lang w:eastAsia="ar-SA"/>
        </w:rPr>
        <w:t>за конференции, семинари и други информационни събития – договор</w:t>
      </w:r>
      <w:r w:rsidR="0079551C">
        <w:rPr>
          <w:szCs w:val="18"/>
          <w:lang w:eastAsia="ar-SA"/>
        </w:rPr>
        <w:t xml:space="preserve"> (ако е приложимо)</w:t>
      </w:r>
      <w:r w:rsidRPr="00E424C4">
        <w:rPr>
          <w:szCs w:val="18"/>
          <w:lang w:eastAsia="ar-SA"/>
        </w:rPr>
        <w:t>, фактура</w:t>
      </w:r>
      <w:r w:rsidRPr="00F04760">
        <w:rPr>
          <w:szCs w:val="18"/>
          <w:lang w:eastAsia="ar-SA"/>
        </w:rPr>
        <w:t>,</w:t>
      </w:r>
      <w:r w:rsidRPr="00E424C4">
        <w:rPr>
          <w:szCs w:val="18"/>
          <w:lang w:eastAsia="ar-SA"/>
        </w:rPr>
        <w:t xml:space="preserve"> приемо-предавателен протокол</w:t>
      </w:r>
      <w:r w:rsidR="0079551C">
        <w:rPr>
          <w:szCs w:val="18"/>
          <w:lang w:eastAsia="ar-SA"/>
        </w:rPr>
        <w:t xml:space="preserve"> (ако е приложимо)</w:t>
      </w:r>
      <w:r w:rsidRPr="00E424C4">
        <w:rPr>
          <w:szCs w:val="18"/>
          <w:lang w:eastAsia="ar-SA"/>
        </w:rPr>
        <w:t>, платежен документ,</w:t>
      </w:r>
      <w:r w:rsidRPr="00F04760">
        <w:rPr>
          <w:rFonts w:eastAsia="Calibri"/>
          <w:szCs w:val="18"/>
        </w:rPr>
        <w:t xml:space="preserve"> </w:t>
      </w:r>
      <w:r w:rsidRPr="00E424C4">
        <w:rPr>
          <w:rFonts w:eastAsia="Calibri"/>
          <w:szCs w:val="18"/>
        </w:rPr>
        <w:t xml:space="preserve">банково извлечение/касова книга, </w:t>
      </w:r>
      <w:r w:rsidRPr="00E424C4">
        <w:rPr>
          <w:szCs w:val="18"/>
          <w:lang w:eastAsia="ar-SA"/>
        </w:rPr>
        <w:t xml:space="preserve">програма на мероприятието, копие на списъците на присъствалите, снимки от събитието, презентации, материали, лекции, които са използвани в рамките на дейността, пакет материали за участниците, обществено разгласяване </w:t>
      </w:r>
      <w:r w:rsidRPr="00E424C4">
        <w:rPr>
          <w:rFonts w:eastAsia="Calibri"/>
          <w:szCs w:val="18"/>
        </w:rPr>
        <w:t xml:space="preserve">(плакати, брошури, </w:t>
      </w:r>
      <w:proofErr w:type="spellStart"/>
      <w:r w:rsidRPr="00E424C4">
        <w:rPr>
          <w:rFonts w:eastAsia="Calibri"/>
          <w:szCs w:val="18"/>
        </w:rPr>
        <w:t>дипляни</w:t>
      </w:r>
      <w:proofErr w:type="spellEnd"/>
      <w:r w:rsidRPr="00E424C4">
        <w:rPr>
          <w:rFonts w:eastAsia="Calibri"/>
          <w:szCs w:val="18"/>
        </w:rPr>
        <w:t xml:space="preserve">, публикации в пресата или покани), </w:t>
      </w:r>
      <w:r w:rsidRPr="00E424C4">
        <w:rPr>
          <w:szCs w:val="18"/>
          <w:lang w:eastAsia="ar-SA"/>
        </w:rPr>
        <w:t>анкетни карти, и др</w:t>
      </w:r>
      <w:r w:rsidR="004E1711">
        <w:rPr>
          <w:szCs w:val="18"/>
          <w:lang w:eastAsia="ar-SA"/>
        </w:rPr>
        <w:t>.</w:t>
      </w:r>
      <w:r w:rsidRPr="00E424C4">
        <w:rPr>
          <w:szCs w:val="18"/>
          <w:lang w:eastAsia="ar-SA"/>
        </w:rPr>
        <w:t>;</w:t>
      </w:r>
    </w:p>
    <w:p w:rsidR="00E424C4" w:rsidRPr="00E424C4" w:rsidRDefault="00E424C4" w:rsidP="00E424C4">
      <w:pPr>
        <w:numPr>
          <w:ilvl w:val="0"/>
          <w:numId w:val="48"/>
        </w:numPr>
        <w:ind w:left="709" w:hanging="425"/>
        <w:rPr>
          <w:szCs w:val="18"/>
          <w:lang w:eastAsia="ar-SA"/>
        </w:rPr>
      </w:pPr>
      <w:r w:rsidRPr="00E424C4">
        <w:rPr>
          <w:szCs w:val="18"/>
          <w:lang w:eastAsia="ar-SA"/>
        </w:rPr>
        <w:t>за доставка – договор, фактура,</w:t>
      </w:r>
      <w:r w:rsidRPr="00E424C4">
        <w:rPr>
          <w:rFonts w:eastAsia="Calibri"/>
          <w:szCs w:val="18"/>
        </w:rPr>
        <w:t xml:space="preserve"> приемно-предавателен протокол</w:t>
      </w:r>
      <w:r w:rsidR="00D207D1">
        <w:rPr>
          <w:rFonts w:eastAsia="Calibri"/>
          <w:szCs w:val="18"/>
        </w:rPr>
        <w:t xml:space="preserve"> (ако е приложимо)</w:t>
      </w:r>
      <w:r w:rsidRPr="00E424C4">
        <w:rPr>
          <w:rFonts w:eastAsia="Calibri"/>
          <w:szCs w:val="18"/>
        </w:rPr>
        <w:t xml:space="preserve">, </w:t>
      </w:r>
      <w:r w:rsidRPr="00E424C4">
        <w:rPr>
          <w:szCs w:val="18"/>
          <w:lang w:eastAsia="ar-SA"/>
        </w:rPr>
        <w:t>платежен документ, банково извлечение</w:t>
      </w:r>
      <w:r w:rsidRPr="00E424C4">
        <w:rPr>
          <w:rFonts w:eastAsia="Calibri"/>
          <w:szCs w:val="18"/>
        </w:rPr>
        <w:t>/касова книга, гаранционни карти, инвентарен списък;</w:t>
      </w:r>
      <w:r w:rsidRPr="00E424C4">
        <w:rPr>
          <w:szCs w:val="18"/>
          <w:lang w:eastAsia="ar-SA"/>
        </w:rPr>
        <w:t xml:space="preserve"> </w:t>
      </w:r>
    </w:p>
    <w:p w:rsidR="00E424C4" w:rsidRPr="00E424C4" w:rsidRDefault="00E424C4" w:rsidP="00E424C4">
      <w:pPr>
        <w:numPr>
          <w:ilvl w:val="0"/>
          <w:numId w:val="48"/>
        </w:numPr>
        <w:tabs>
          <w:tab w:val="left" w:pos="709"/>
        </w:tabs>
        <w:spacing w:before="0" w:after="0"/>
        <w:ind w:left="709" w:hanging="425"/>
        <w:rPr>
          <w:rFonts w:eastAsia="Calibri"/>
          <w:szCs w:val="18"/>
        </w:rPr>
      </w:pPr>
      <w:r w:rsidRPr="007876C3">
        <w:rPr>
          <w:szCs w:val="18"/>
          <w:lang w:eastAsia="ar-SA"/>
        </w:rPr>
        <w:t xml:space="preserve"> </w:t>
      </w:r>
      <w:r w:rsidRPr="00E424C4">
        <w:rPr>
          <w:szCs w:val="18"/>
          <w:lang w:eastAsia="ar-SA"/>
        </w:rPr>
        <w:t>за услуги –</w:t>
      </w:r>
      <w:r w:rsidRPr="00E424C4">
        <w:rPr>
          <w:rFonts w:eastAsia="Calibri"/>
          <w:szCs w:val="18"/>
        </w:rPr>
        <w:t xml:space="preserve"> договор, фактура, приемно-предавателен протокол</w:t>
      </w:r>
      <w:r w:rsidR="00D207D1">
        <w:rPr>
          <w:rFonts w:eastAsia="Calibri"/>
          <w:szCs w:val="18"/>
        </w:rPr>
        <w:t xml:space="preserve"> (ако е приложимо), платежен  документ, </w:t>
      </w:r>
      <w:r w:rsidRPr="00E424C4">
        <w:rPr>
          <w:rFonts w:eastAsia="Calibri"/>
          <w:szCs w:val="18"/>
        </w:rPr>
        <w:t>банково извлечение/касова книга, копия от публикации, копия от рекламни материали и др.;</w:t>
      </w:r>
    </w:p>
    <w:p w:rsidR="00E424C4" w:rsidRPr="00E424C4" w:rsidRDefault="00E424C4" w:rsidP="00E424C4">
      <w:pPr>
        <w:numPr>
          <w:ilvl w:val="0"/>
          <w:numId w:val="13"/>
        </w:numPr>
        <w:ind w:left="709" w:hanging="421"/>
        <w:rPr>
          <w:szCs w:val="18"/>
          <w:lang w:eastAsia="ar-SA"/>
        </w:rPr>
      </w:pPr>
      <w:r w:rsidRPr="00E424C4">
        <w:rPr>
          <w:szCs w:val="18"/>
          <w:lang w:eastAsia="ar-SA"/>
        </w:rPr>
        <w:t>Доказването на непреки разходи, изчислени на база фиксирана ставка съгласно т.10.2.2 няма нужда от подкрепящи документи;</w:t>
      </w:r>
    </w:p>
    <w:p w:rsidR="00E424C4" w:rsidRPr="00E424C4" w:rsidRDefault="00E424C4" w:rsidP="00E424C4">
      <w:pPr>
        <w:tabs>
          <w:tab w:val="left" w:pos="900"/>
        </w:tabs>
        <w:spacing w:after="0"/>
        <w:ind w:left="709"/>
        <w:rPr>
          <w:rFonts w:eastAsia="Calibri"/>
          <w:b/>
          <w:i/>
          <w:snapToGrid w:val="0"/>
          <w:szCs w:val="18"/>
          <w:lang w:eastAsia="ar-SA"/>
        </w:rPr>
      </w:pPr>
      <w:r w:rsidRPr="00E424C4">
        <w:rPr>
          <w:rFonts w:eastAsia="Calibri"/>
          <w:snapToGrid w:val="0"/>
          <w:szCs w:val="18"/>
          <w:lang w:eastAsia="ar-SA"/>
        </w:rPr>
        <w:lastRenderedPageBreak/>
        <w:t xml:space="preserve">Изискванията за доказване на разходите на Партньора трябва да бъдат описани в Споразумението за партньорство. </w:t>
      </w:r>
    </w:p>
    <w:p w:rsidR="00E424C4" w:rsidRPr="00E424C4" w:rsidRDefault="00E424C4" w:rsidP="00E424C4">
      <w:pPr>
        <w:suppressAutoHyphens/>
        <w:spacing w:after="0"/>
        <w:ind w:left="1065"/>
        <w:rPr>
          <w:rFonts w:eastAsia="Calibri"/>
          <w:snapToGrid w:val="0"/>
          <w:szCs w:val="18"/>
          <w:lang w:eastAsia="ar-SA"/>
        </w:rPr>
      </w:pPr>
      <w:r w:rsidRPr="00E424C4">
        <w:rPr>
          <w:rFonts w:eastAsia="Calibri"/>
          <w:snapToGrid w:val="0"/>
          <w:szCs w:val="18"/>
          <w:lang w:eastAsia="ar-SA"/>
        </w:rPr>
        <w:t>За разходи, извършени от Партньора, може да се приложи:</w:t>
      </w:r>
    </w:p>
    <w:p w:rsidR="00E424C4" w:rsidRPr="00E424C4" w:rsidRDefault="00E424C4" w:rsidP="00E424C4">
      <w:pPr>
        <w:suppressAutoHyphens/>
        <w:spacing w:after="0"/>
        <w:ind w:left="1065"/>
        <w:rPr>
          <w:rFonts w:eastAsia="Calibri"/>
          <w:snapToGrid w:val="0"/>
          <w:szCs w:val="18"/>
          <w:lang w:eastAsia="ar-SA"/>
        </w:rPr>
      </w:pPr>
      <w:r w:rsidRPr="00E424C4">
        <w:rPr>
          <w:rFonts w:eastAsia="Calibri"/>
          <w:snapToGrid w:val="0"/>
          <w:szCs w:val="18"/>
          <w:lang w:eastAsia="ar-SA"/>
        </w:rPr>
        <w:t>1. доклад от независим и сертифициран одитор, удостоверяващ, че отчетените разходи са възникнали в съответствие с Регламента, националното законодателство и приложимите счетоводните практики на държавата, в която е регистриран Партньора, или</w:t>
      </w:r>
    </w:p>
    <w:p w:rsidR="00E424C4" w:rsidRPr="00E424C4" w:rsidRDefault="00E424C4" w:rsidP="00E424C4">
      <w:pPr>
        <w:suppressAutoHyphens/>
        <w:spacing w:after="0"/>
        <w:ind w:left="1065"/>
        <w:rPr>
          <w:rFonts w:eastAsia="Calibri"/>
          <w:snapToGrid w:val="0"/>
          <w:szCs w:val="18"/>
          <w:lang w:eastAsia="ar-SA"/>
        </w:rPr>
      </w:pPr>
      <w:r w:rsidRPr="00E424C4">
        <w:rPr>
          <w:rFonts w:eastAsia="Calibri"/>
          <w:snapToGrid w:val="0"/>
          <w:szCs w:val="18"/>
          <w:lang w:eastAsia="ar-SA"/>
        </w:rPr>
        <w:t>2.  доклад от квалифициран и независим служител, имащ правото да извършва бюджетен и финансов контрол върху организацията, който не е част от екипа</w:t>
      </w:r>
      <w:r w:rsidR="00D207D1">
        <w:rPr>
          <w:rFonts w:eastAsia="Calibri"/>
          <w:snapToGrid w:val="0"/>
          <w:szCs w:val="18"/>
          <w:lang w:eastAsia="ar-SA"/>
        </w:rPr>
        <w:t>,</w:t>
      </w:r>
      <w:r w:rsidRPr="00E424C4">
        <w:rPr>
          <w:rFonts w:eastAsia="Calibri"/>
          <w:snapToGrid w:val="0"/>
          <w:szCs w:val="18"/>
          <w:lang w:eastAsia="ar-SA"/>
        </w:rPr>
        <w:t xml:space="preserve"> подготвящ финансовия отчет, удостоверяващ, че отчетените разходи са възникнали в съответствие с Регламента, националното законодателство и приложимите счетоводни практики на държавата.</w:t>
      </w:r>
    </w:p>
    <w:p w:rsidR="00A11EEB" w:rsidRPr="00311F24" w:rsidRDefault="0054168A" w:rsidP="0054168A">
      <w:pPr>
        <w:pStyle w:val="Heading1"/>
        <w:rPr>
          <w:lang w:val="bg-BG"/>
        </w:rPr>
      </w:pPr>
      <w:r w:rsidRPr="00311F24">
        <w:rPr>
          <w:lang w:val="bg-BG"/>
        </w:rPr>
        <w:t>ЦЕЛЕВИ ГРУПИ:</w:t>
      </w:r>
      <w:bookmarkEnd w:id="26"/>
    </w:p>
    <w:p w:rsidR="00BA6EA7" w:rsidRPr="00311F24" w:rsidRDefault="00BA6EA7" w:rsidP="00BA6EA7">
      <w:pPr>
        <w:rPr>
          <w:lang w:eastAsia="ar-SA"/>
        </w:rPr>
      </w:pPr>
      <w:r w:rsidRPr="00311F24">
        <w:rPr>
          <w:lang w:eastAsia="ar-SA"/>
        </w:rPr>
        <w:t xml:space="preserve">Сред целевите групи по настоящата процедура чрез директно предоставяне на безвъзмездна финансова помощ се включват: </w:t>
      </w:r>
    </w:p>
    <w:p w:rsidR="007360B7" w:rsidRPr="00311F24" w:rsidRDefault="007360B7" w:rsidP="00BA6EA7">
      <w:pPr>
        <w:numPr>
          <w:ilvl w:val="6"/>
          <w:numId w:val="1"/>
        </w:numPr>
        <w:tabs>
          <w:tab w:val="clear" w:pos="2520"/>
          <w:tab w:val="num" w:pos="709"/>
        </w:tabs>
        <w:ind w:left="0" w:firstLine="426"/>
        <w:rPr>
          <w:lang w:eastAsia="ar-SA"/>
        </w:rPr>
      </w:pPr>
      <w:r w:rsidRPr="00311F24">
        <w:rPr>
          <w:lang w:eastAsia="ar-SA"/>
        </w:rPr>
        <w:t>Общин</w:t>
      </w:r>
      <w:r w:rsidR="00BA6EA7" w:rsidRPr="00311F24">
        <w:rPr>
          <w:lang w:eastAsia="ar-SA"/>
        </w:rPr>
        <w:t>ски администрации;</w:t>
      </w:r>
    </w:p>
    <w:p w:rsidR="00BA6EA7" w:rsidRPr="00311F24" w:rsidRDefault="007360B7" w:rsidP="00BA6EA7">
      <w:pPr>
        <w:numPr>
          <w:ilvl w:val="6"/>
          <w:numId w:val="1"/>
        </w:numPr>
        <w:tabs>
          <w:tab w:val="clear" w:pos="2520"/>
          <w:tab w:val="num" w:pos="709"/>
        </w:tabs>
        <w:ind w:left="0" w:firstLine="426"/>
        <w:rPr>
          <w:lang w:eastAsia="ar-SA"/>
        </w:rPr>
      </w:pPr>
      <w:r w:rsidRPr="00311F24">
        <w:rPr>
          <w:lang w:eastAsia="ar-SA"/>
        </w:rPr>
        <w:t>Водоснабдителни дружества, установени в България</w:t>
      </w:r>
      <w:r w:rsidR="00BA6EA7" w:rsidRPr="00311F24">
        <w:rPr>
          <w:lang w:eastAsia="ar-SA"/>
        </w:rPr>
        <w:t>;</w:t>
      </w:r>
    </w:p>
    <w:p w:rsidR="00BA6EA7" w:rsidRPr="00311F24" w:rsidRDefault="00BA6EA7" w:rsidP="00BA6EA7">
      <w:pPr>
        <w:numPr>
          <w:ilvl w:val="6"/>
          <w:numId w:val="1"/>
        </w:numPr>
        <w:tabs>
          <w:tab w:val="clear" w:pos="2520"/>
          <w:tab w:val="num" w:pos="709"/>
        </w:tabs>
        <w:ind w:left="0" w:firstLine="426"/>
        <w:rPr>
          <w:lang w:eastAsia="ar-SA"/>
        </w:rPr>
      </w:pPr>
      <w:r w:rsidRPr="00311F24">
        <w:rPr>
          <w:lang w:eastAsia="ar-SA"/>
        </w:rPr>
        <w:t>Институции и агенции, свързани със създаването и изпълнението на политиките в областта на енергията от възобновяеми източници</w:t>
      </w:r>
      <w:r w:rsidR="00860289" w:rsidRPr="00311F24">
        <w:rPr>
          <w:lang w:eastAsia="ar-SA"/>
        </w:rPr>
        <w:t>,</w:t>
      </w:r>
      <w:r w:rsidRPr="00311F24">
        <w:rPr>
          <w:lang w:eastAsia="ar-SA"/>
        </w:rPr>
        <w:t xml:space="preserve"> ограничаване на въздействието върху климата</w:t>
      </w:r>
      <w:r w:rsidR="00860289" w:rsidRPr="00311F24">
        <w:rPr>
          <w:lang w:eastAsia="ar-SA"/>
        </w:rPr>
        <w:t xml:space="preserve">, </w:t>
      </w:r>
      <w:r w:rsidR="00860289" w:rsidRPr="00311F24">
        <w:t>развитието и управлението на отрасъл водоснабдяване и канализация</w:t>
      </w:r>
      <w:r w:rsidRPr="00311F24">
        <w:rPr>
          <w:lang w:eastAsia="ar-SA"/>
        </w:rPr>
        <w:t>;</w:t>
      </w:r>
    </w:p>
    <w:p w:rsidR="00BA6EA7" w:rsidRDefault="00BA6EA7" w:rsidP="00BA6EA7">
      <w:pPr>
        <w:numPr>
          <w:ilvl w:val="6"/>
          <w:numId w:val="1"/>
        </w:numPr>
        <w:tabs>
          <w:tab w:val="clear" w:pos="2520"/>
          <w:tab w:val="num" w:pos="709"/>
        </w:tabs>
        <w:ind w:left="0" w:firstLine="426"/>
        <w:rPr>
          <w:lang w:eastAsia="ar-SA"/>
        </w:rPr>
      </w:pPr>
      <w:r w:rsidRPr="00311F24">
        <w:rPr>
          <w:lang w:eastAsia="ar-SA"/>
        </w:rPr>
        <w:t>Широката общественост</w:t>
      </w:r>
      <w:r w:rsidR="00311F24">
        <w:rPr>
          <w:lang w:eastAsia="ar-SA"/>
        </w:rPr>
        <w:t>.</w:t>
      </w:r>
    </w:p>
    <w:p w:rsidR="003E170C" w:rsidRDefault="003E170C" w:rsidP="003E170C">
      <w:pPr>
        <w:pStyle w:val="Heading1"/>
        <w:rPr>
          <w:lang w:val="bg-BG"/>
        </w:rPr>
      </w:pPr>
      <w:bookmarkStart w:id="27" w:name="_Toc4745727"/>
      <w:r w:rsidRPr="003E170C">
        <w:rPr>
          <w:lang w:val="bg-BG"/>
        </w:rPr>
        <w:t>ПРИЛОЖИМ РЕЖИМ НА МИНИМАЛНИ/ДЪРЖАВНИ ПОМОЩИ</w:t>
      </w:r>
      <w:bookmarkEnd w:id="27"/>
    </w:p>
    <w:p w:rsidR="00094156" w:rsidRDefault="00B84880" w:rsidP="00094156">
      <w:pPr>
        <w:rPr>
          <w:lang w:eastAsia="ar-SA"/>
        </w:rPr>
      </w:pPr>
      <w:r w:rsidRPr="00B84880">
        <w:rPr>
          <w:lang w:eastAsia="ar-SA"/>
        </w:rPr>
        <w:t>Предоставянето на публичен ресурс, в това ч</w:t>
      </w:r>
      <w:r>
        <w:rPr>
          <w:lang w:eastAsia="ar-SA"/>
        </w:rPr>
        <w:t xml:space="preserve">исло </w:t>
      </w:r>
      <w:proofErr w:type="spellStart"/>
      <w:r>
        <w:rPr>
          <w:lang w:eastAsia="ar-SA"/>
        </w:rPr>
        <w:t>БФП</w:t>
      </w:r>
      <w:proofErr w:type="spellEnd"/>
      <w:r>
        <w:rPr>
          <w:lang w:eastAsia="ar-SA"/>
        </w:rPr>
        <w:t xml:space="preserve"> по настоящия проект</w:t>
      </w:r>
      <w:r w:rsidRPr="00B84880">
        <w:rPr>
          <w:lang w:eastAsia="ar-SA"/>
        </w:rPr>
        <w:t xml:space="preserve"> трябва да е съобразено с правилата за държавни помощи, като се отчита принципната недопустимост на държавните помощи и възможните хипотези на съвместимост, които Договорът за функциониране на Европейския съюз, Регламентите и националното законодателство предвиждат</w:t>
      </w:r>
      <w:r w:rsidR="005D5067">
        <w:rPr>
          <w:lang w:eastAsia="ar-SA"/>
        </w:rPr>
        <w:t>.</w:t>
      </w:r>
    </w:p>
    <w:p w:rsidR="005D5067" w:rsidRPr="005D5067" w:rsidRDefault="005D5067" w:rsidP="00094156">
      <w:pPr>
        <w:rPr>
          <w:b/>
          <w:lang w:eastAsia="ar-SA"/>
        </w:rPr>
      </w:pPr>
      <w:r w:rsidRPr="005D5067">
        <w:rPr>
          <w:b/>
          <w:lang w:eastAsia="ar-SA"/>
        </w:rPr>
        <w:t>ЗА БЕНЕФИЦИЕНТА</w:t>
      </w:r>
    </w:p>
    <w:p w:rsidR="00092549" w:rsidRPr="005D7CE5" w:rsidRDefault="00092549" w:rsidP="005D7CE5">
      <w:pPr>
        <w:rPr>
          <w:lang w:eastAsia="ar-SA"/>
        </w:rPr>
      </w:pPr>
      <w:r>
        <w:rPr>
          <w:lang w:eastAsia="ar-SA"/>
        </w:rPr>
        <w:t xml:space="preserve">Агенцията за устойчиво енергийно развитие </w:t>
      </w:r>
      <w:r w:rsidR="00DC4731" w:rsidRPr="000E5D20">
        <w:rPr>
          <w:lang w:eastAsia="ar-SA"/>
        </w:rPr>
        <w:t>(</w:t>
      </w:r>
      <w:r w:rsidR="00DC4731">
        <w:rPr>
          <w:lang w:eastAsia="ar-SA"/>
        </w:rPr>
        <w:t>АУЕР</w:t>
      </w:r>
      <w:r w:rsidR="00DC4731" w:rsidRPr="000E5D20">
        <w:rPr>
          <w:lang w:eastAsia="ar-SA"/>
        </w:rPr>
        <w:t>)</w:t>
      </w:r>
      <w:r w:rsidR="00DC4731">
        <w:rPr>
          <w:lang w:eastAsia="ar-SA"/>
        </w:rPr>
        <w:t xml:space="preserve"> </w:t>
      </w:r>
      <w:r w:rsidRPr="00092549">
        <w:rPr>
          <w:lang w:eastAsia="ar-SA"/>
        </w:rPr>
        <w:t>е юридическо лице на бюдж</w:t>
      </w:r>
      <w:r w:rsidR="00824175">
        <w:rPr>
          <w:lang w:eastAsia="ar-SA"/>
        </w:rPr>
        <w:t>етна издръжка</w:t>
      </w:r>
      <w:r w:rsidRPr="00092549">
        <w:rPr>
          <w:lang w:eastAsia="ar-SA"/>
        </w:rPr>
        <w:t xml:space="preserve"> и има статут на изпълнителна агенция към министъра на енергетиката.</w:t>
      </w:r>
    </w:p>
    <w:p w:rsidR="00473E7F" w:rsidRPr="000E5D20" w:rsidRDefault="003E170C" w:rsidP="003E170C">
      <w:pPr>
        <w:rPr>
          <w:lang w:eastAsia="ar-SA"/>
        </w:rPr>
      </w:pPr>
      <w:r w:rsidRPr="007F5255">
        <w:rPr>
          <w:lang w:eastAsia="ar-SA"/>
        </w:rPr>
        <w:t>При реализирането на дейностите по настоящата процедура Агенцията за уст</w:t>
      </w:r>
      <w:r w:rsidR="004E1711">
        <w:rPr>
          <w:lang w:eastAsia="ar-SA"/>
        </w:rPr>
        <w:t>ойчиво енергийно развитие</w:t>
      </w:r>
      <w:r w:rsidRPr="007F5255">
        <w:rPr>
          <w:lang w:eastAsia="ar-SA"/>
        </w:rPr>
        <w:t xml:space="preserve"> не </w:t>
      </w:r>
      <w:r w:rsidR="00AA57B1">
        <w:rPr>
          <w:lang w:eastAsia="ar-SA"/>
        </w:rPr>
        <w:t xml:space="preserve">е </w:t>
      </w:r>
      <w:r w:rsidRPr="007F5255">
        <w:rPr>
          <w:lang w:eastAsia="ar-SA"/>
        </w:rPr>
        <w:t>предприятие по смисъла на чл.107, § 1 от Договора за функциониране на Европейския съюз (</w:t>
      </w:r>
      <w:proofErr w:type="spellStart"/>
      <w:r w:rsidRPr="007F5255">
        <w:rPr>
          <w:lang w:eastAsia="ar-SA"/>
        </w:rPr>
        <w:t>ДФЕС</w:t>
      </w:r>
      <w:proofErr w:type="spellEnd"/>
      <w:r w:rsidRPr="007F5255">
        <w:rPr>
          <w:lang w:eastAsia="ar-SA"/>
        </w:rPr>
        <w:t xml:space="preserve">), </w:t>
      </w:r>
      <w:r w:rsidRPr="003D35CB">
        <w:rPr>
          <w:lang w:eastAsia="ar-SA"/>
        </w:rPr>
        <w:t>тъй като осъще</w:t>
      </w:r>
      <w:r w:rsidR="00991282" w:rsidRPr="003D35CB">
        <w:rPr>
          <w:lang w:eastAsia="ar-SA"/>
        </w:rPr>
        <w:t xml:space="preserve">ствява </w:t>
      </w:r>
      <w:r w:rsidR="004E1711" w:rsidRPr="003D35CB">
        <w:rPr>
          <w:lang w:eastAsia="ar-SA"/>
        </w:rPr>
        <w:t>държавната политика по</w:t>
      </w:r>
      <w:r w:rsidRPr="003D35CB">
        <w:rPr>
          <w:lang w:eastAsia="ar-SA"/>
        </w:rPr>
        <w:t xml:space="preserve"> </w:t>
      </w:r>
      <w:r w:rsidR="00DE0C46" w:rsidRPr="00DE0C46">
        <w:rPr>
          <w:lang w:eastAsia="ar-SA"/>
        </w:rPr>
        <w:t>насърчаване</w:t>
      </w:r>
      <w:r w:rsidR="00350FD0">
        <w:rPr>
          <w:lang w:eastAsia="ar-SA"/>
        </w:rPr>
        <w:t>,</w:t>
      </w:r>
      <w:r w:rsidR="00DE0C46" w:rsidRPr="00DE0C46">
        <w:rPr>
          <w:lang w:eastAsia="ar-SA"/>
        </w:rPr>
        <w:t xml:space="preserve"> производството и потреблението на електрическа енергия, топлинна енергия и енергия за охлаждане от възобновяеми източници, производството и потреблението на газ от възобновяеми източници, както и производството и потреблението на биогорива и енергия от възобновяеми източници в транспорта</w:t>
      </w:r>
      <w:r w:rsidR="004E1711">
        <w:rPr>
          <w:lang w:eastAsia="ar-SA"/>
        </w:rPr>
        <w:t xml:space="preserve">  </w:t>
      </w:r>
      <w:r w:rsidR="004E1711" w:rsidRPr="000E5D20">
        <w:rPr>
          <w:lang w:eastAsia="ar-SA"/>
        </w:rPr>
        <w:t>(</w:t>
      </w:r>
      <w:r w:rsidR="00DE0C46" w:rsidRPr="00DE0C46">
        <w:rPr>
          <w:lang w:eastAsia="ar-SA"/>
        </w:rPr>
        <w:t xml:space="preserve">чл. 7, ал. 1 от </w:t>
      </w:r>
      <w:r w:rsidRPr="007F5255">
        <w:rPr>
          <w:lang w:eastAsia="ar-SA"/>
        </w:rPr>
        <w:t xml:space="preserve">Закона за </w:t>
      </w:r>
      <w:r w:rsidR="00DE0C46">
        <w:rPr>
          <w:lang w:eastAsia="ar-SA"/>
        </w:rPr>
        <w:t>енергията от възобновяеми източници</w:t>
      </w:r>
      <w:r w:rsidR="00CC0710">
        <w:rPr>
          <w:lang w:eastAsia="ar-SA"/>
        </w:rPr>
        <w:t xml:space="preserve"> </w:t>
      </w:r>
      <w:r w:rsidR="00CC0710" w:rsidRPr="00CC0710">
        <w:rPr>
          <w:lang w:eastAsia="ar-SA"/>
        </w:rPr>
        <w:t>(ЗЕВИ)</w:t>
      </w:r>
      <w:r w:rsidRPr="007F5255">
        <w:rPr>
          <w:lang w:eastAsia="ar-SA"/>
        </w:rPr>
        <w:t>)</w:t>
      </w:r>
      <w:r w:rsidR="00350FD0">
        <w:rPr>
          <w:lang w:eastAsia="ar-SA"/>
        </w:rPr>
        <w:t>.</w:t>
      </w:r>
      <w:r w:rsidRPr="007F5255">
        <w:rPr>
          <w:lang w:eastAsia="ar-SA"/>
        </w:rPr>
        <w:t xml:space="preserve"> </w:t>
      </w:r>
      <w:r w:rsidR="00350FD0">
        <w:rPr>
          <w:lang w:eastAsia="ar-SA"/>
        </w:rPr>
        <w:t>На основание</w:t>
      </w:r>
      <w:r w:rsidR="00F55E5D" w:rsidRPr="00F55E5D">
        <w:rPr>
          <w:lang w:eastAsia="ar-SA"/>
        </w:rPr>
        <w:t xml:space="preserve"> чл. 7, ал. 2, т. 3 от ЗЕВИ, изпълнителният директор на АУЕР организира изпълнението на дейностите и мерките, включени в Националния план за действие за енергията от възобновяеми източници, в </w:t>
      </w:r>
      <w:r w:rsidR="00F55E5D" w:rsidRPr="00F55E5D">
        <w:rPr>
          <w:lang w:eastAsia="ar-SA"/>
        </w:rPr>
        <w:lastRenderedPageBreak/>
        <w:t>сътрудничество със заинтересованите лица, съдейства при разработването и изпълнението на общинските програми за насърчаване използването на енергията от възобновяеми източници и биогорива</w:t>
      </w:r>
      <w:r w:rsidR="00473E7F" w:rsidRPr="000E5D20">
        <w:rPr>
          <w:lang w:eastAsia="ar-SA"/>
        </w:rPr>
        <w:t>.</w:t>
      </w:r>
    </w:p>
    <w:p w:rsidR="008F487D" w:rsidRDefault="008F487D" w:rsidP="003E170C">
      <w:pPr>
        <w:rPr>
          <w:lang w:eastAsia="ar-SA"/>
        </w:rPr>
      </w:pPr>
      <w:r w:rsidRPr="008F487D">
        <w:rPr>
          <w:lang w:eastAsia="ar-SA"/>
        </w:rPr>
        <w:t xml:space="preserve">Потенциалът на </w:t>
      </w:r>
      <w:proofErr w:type="spellStart"/>
      <w:r w:rsidRPr="008F487D">
        <w:rPr>
          <w:lang w:eastAsia="ar-SA"/>
        </w:rPr>
        <w:t>хидроенергията</w:t>
      </w:r>
      <w:proofErr w:type="spellEnd"/>
      <w:r w:rsidRPr="008F487D">
        <w:rPr>
          <w:lang w:eastAsia="ar-SA"/>
        </w:rPr>
        <w:t xml:space="preserve"> на съществуващите водоснабдителни системи не е достатъчно оценен. Водната енергия е важен източник на енергия от възобновяеми източници, но нейното развитие е съпроводено с например, екологични и социални предизвикателства. Един устойчив проект за хидроенергия се нуждае от подходящо планиране за справяне с предизвикателствата и за изпълнението на държавната политика за насърчаване на нейното производство и потребление.  Необходими са актуални данни за енергийните източници, за да се вземат информирани решения относно хидроенергийните проекти. Във връзка с това е необходимо проучване за осъществимостта на малките водноелектрически централи в съществуващите водоснабдителни системи за оценка на потенциала за производство на енергия</w:t>
      </w:r>
      <w:r>
        <w:rPr>
          <w:lang w:eastAsia="ar-SA"/>
        </w:rPr>
        <w:t>.</w:t>
      </w:r>
    </w:p>
    <w:p w:rsidR="00CF5F54" w:rsidRPr="00B25F81" w:rsidRDefault="008F487D" w:rsidP="00CF5F54">
      <w:pPr>
        <w:rPr>
          <w:bCs/>
          <w:i/>
          <w:lang w:eastAsia="ar-SA"/>
        </w:rPr>
      </w:pPr>
      <w:r>
        <w:rPr>
          <w:lang w:eastAsia="ar-SA"/>
        </w:rPr>
        <w:t>Тази дейност е р</w:t>
      </w:r>
      <w:r w:rsidR="004E1711">
        <w:rPr>
          <w:lang w:eastAsia="ar-SA"/>
        </w:rPr>
        <w:t>егламентирана</w:t>
      </w:r>
      <w:r w:rsidR="00DC4731" w:rsidRPr="00DC4731">
        <w:rPr>
          <w:lang w:eastAsia="ar-SA"/>
        </w:rPr>
        <w:t xml:space="preserve"> в чл. 7, ал. 2 т. 4 от ЗЕВИ </w:t>
      </w:r>
      <w:r w:rsidRPr="003D35CB">
        <w:rPr>
          <w:lang w:eastAsia="ar-SA"/>
        </w:rPr>
        <w:t xml:space="preserve">като </w:t>
      </w:r>
      <w:r w:rsidR="004E1711" w:rsidRPr="003D35CB">
        <w:rPr>
          <w:lang w:eastAsia="ar-SA"/>
        </w:rPr>
        <w:t>правомощие</w:t>
      </w:r>
      <w:r w:rsidR="00DC4731" w:rsidRPr="003D35CB">
        <w:rPr>
          <w:lang w:eastAsia="ar-SA"/>
        </w:rPr>
        <w:t xml:space="preserve"> на изпълнителния директор на АУЕР</w:t>
      </w:r>
      <w:r w:rsidR="004E1711" w:rsidRPr="003D35CB">
        <w:rPr>
          <w:lang w:eastAsia="ar-SA"/>
        </w:rPr>
        <w:t>, който следва</w:t>
      </w:r>
      <w:r w:rsidR="00DC4731" w:rsidRPr="003D35CB">
        <w:rPr>
          <w:lang w:eastAsia="ar-SA"/>
        </w:rPr>
        <w:t xml:space="preserve"> да организира извършването н</w:t>
      </w:r>
      <w:r w:rsidR="00DC4731" w:rsidRPr="00DC4731">
        <w:rPr>
          <w:lang w:eastAsia="ar-SA"/>
        </w:rPr>
        <w:t xml:space="preserve">а оценки за наличния и прогнозния потенциал на видовете ресурси за производство на енергия от ВИ на територията на страната </w:t>
      </w:r>
      <w:r>
        <w:rPr>
          <w:lang w:eastAsia="ar-SA"/>
        </w:rPr>
        <w:t>и е пряко свързана</w:t>
      </w:r>
      <w:r w:rsidR="00DC4731" w:rsidRPr="00DC4731">
        <w:rPr>
          <w:lang w:eastAsia="ar-SA"/>
        </w:rPr>
        <w:t xml:space="preserve"> с целта, обхвата и сферата на дейност на настоящия проект. </w:t>
      </w:r>
      <w:r w:rsidR="00AD2BF3" w:rsidRPr="00AD2BF3">
        <w:rPr>
          <w:lang w:eastAsia="ar-SA"/>
        </w:rPr>
        <w:t xml:space="preserve">Резултатите от изследването ще спомогнат </w:t>
      </w:r>
      <w:r w:rsidR="00343382">
        <w:rPr>
          <w:lang w:eastAsia="ar-SA"/>
        </w:rPr>
        <w:t xml:space="preserve">и </w:t>
      </w:r>
      <w:r w:rsidR="00AD2BF3" w:rsidRPr="00AD2BF3">
        <w:rPr>
          <w:lang w:eastAsia="ar-SA"/>
        </w:rPr>
        <w:t>за</w:t>
      </w:r>
      <w:r w:rsidR="00343382">
        <w:rPr>
          <w:lang w:eastAsia="ar-SA"/>
        </w:rPr>
        <w:t xml:space="preserve"> осъвременяване</w:t>
      </w:r>
      <w:r w:rsidR="00AD2BF3" w:rsidRPr="00AD2BF3">
        <w:rPr>
          <w:lang w:eastAsia="ar-SA"/>
        </w:rPr>
        <w:t xml:space="preserve"> на </w:t>
      </w:r>
      <w:r w:rsidR="00CF5F54">
        <w:rPr>
          <w:lang w:eastAsia="ar-SA"/>
        </w:rPr>
        <w:t>„Националната информационна система за потенциала, производството и потреблението на енергия от възобновяеми източници в Република България“, наричана по-нататък "НИС", чието съдържание и функции са определени в</w:t>
      </w:r>
      <w:r w:rsidR="00CF5F54" w:rsidRPr="00CF5F54">
        <w:rPr>
          <w:lang w:eastAsia="ar-SA"/>
        </w:rPr>
        <w:t xml:space="preserve"> </w:t>
      </w:r>
      <w:r w:rsidR="00CF5F54" w:rsidRPr="00B25F81">
        <w:rPr>
          <w:lang w:eastAsia="ar-SA"/>
        </w:rPr>
        <w:t>„</w:t>
      </w:r>
      <w:r w:rsidR="00CF5F54" w:rsidRPr="00B25F81">
        <w:rPr>
          <w:bCs/>
          <w:lang w:eastAsia="ar-SA"/>
        </w:rPr>
        <w:t>Наредба № РД-16-558 от 8.05.2012 г</w:t>
      </w:r>
      <w:r w:rsidR="00CF5F54" w:rsidRPr="00B25F81">
        <w:rPr>
          <w:b/>
          <w:bCs/>
          <w:i/>
          <w:lang w:eastAsia="ar-SA"/>
        </w:rPr>
        <w:t xml:space="preserve">. </w:t>
      </w:r>
      <w:r w:rsidR="00CF5F54" w:rsidRPr="00B25F81">
        <w:rPr>
          <w:bCs/>
          <w:i/>
          <w:lang w:eastAsia="ar-SA"/>
        </w:rPr>
        <w:t xml:space="preserve">за набирането и предоставянето на информацията чрез Националната информационна система за потенциала, производството и потреблението на енергия от възобновяеми източници в Република България“. </w:t>
      </w:r>
    </w:p>
    <w:p w:rsidR="007F3B18" w:rsidRPr="003D35CB" w:rsidRDefault="00E45538" w:rsidP="00C2349C">
      <w:pPr>
        <w:rPr>
          <w:lang w:eastAsia="ar-SA"/>
        </w:rPr>
      </w:pPr>
      <w:r w:rsidRPr="003D35CB">
        <w:rPr>
          <w:lang w:eastAsia="ar-SA"/>
        </w:rPr>
        <w:t xml:space="preserve">Съгласно посочената наредба </w:t>
      </w:r>
      <w:r w:rsidR="00F810B4" w:rsidRPr="003D35CB">
        <w:rPr>
          <w:lang w:eastAsia="ar-SA"/>
        </w:rPr>
        <w:t xml:space="preserve">АУЕР </w:t>
      </w:r>
      <w:r w:rsidR="00D4345D" w:rsidRPr="003D35CB">
        <w:rPr>
          <w:lang w:eastAsia="ar-SA"/>
        </w:rPr>
        <w:t>организира дейността по събиране, обработване, систематизиране, съхраняване и използване на информацията, свързана с потенциала, производството и потреблението в Република България на енергия от възобновяеми източници</w:t>
      </w:r>
      <w:r w:rsidRPr="003D35CB">
        <w:rPr>
          <w:lang w:eastAsia="ar-SA"/>
        </w:rPr>
        <w:t>,</w:t>
      </w:r>
      <w:r w:rsidR="00F810B4" w:rsidRPr="003D35CB">
        <w:rPr>
          <w:lang w:eastAsia="ar-SA"/>
        </w:rPr>
        <w:t xml:space="preserve"> </w:t>
      </w:r>
      <w:r w:rsidRPr="003D35CB">
        <w:rPr>
          <w:lang w:eastAsia="ar-SA"/>
        </w:rPr>
        <w:t xml:space="preserve">като в чл. 4, ал. 1 от наредбата е посочена </w:t>
      </w:r>
      <w:r w:rsidR="00C2349C" w:rsidRPr="003D35CB">
        <w:rPr>
          <w:lang w:eastAsia="ar-SA"/>
        </w:rPr>
        <w:t xml:space="preserve">информацията, която  Агенцията за устойчиво енергийно развитие събира и </w:t>
      </w:r>
      <w:r w:rsidR="00D4345D" w:rsidRPr="003D35CB">
        <w:rPr>
          <w:lang w:eastAsia="ar-SA"/>
        </w:rPr>
        <w:t xml:space="preserve">до която </w:t>
      </w:r>
      <w:r w:rsidR="00C2349C" w:rsidRPr="003D35CB">
        <w:rPr>
          <w:lang w:eastAsia="ar-SA"/>
        </w:rPr>
        <w:t>осигурява публичен достъп.</w:t>
      </w:r>
    </w:p>
    <w:p w:rsidR="00C2349C" w:rsidRPr="00BE65DC" w:rsidRDefault="00C2349C" w:rsidP="00C2349C">
      <w:pPr>
        <w:rPr>
          <w:lang w:eastAsia="ar-SA"/>
        </w:rPr>
      </w:pPr>
      <w:r>
        <w:rPr>
          <w:lang w:eastAsia="ar-SA"/>
        </w:rPr>
        <w:t>Дейността по събиране, обработване, систематизиране, съхраняване и използване на предоставената информация се осъществява от АУЕР, при спазване на принципите на професионална независимост, безпристрастност, обективност, надеждност,</w:t>
      </w:r>
      <w:r w:rsidR="00E45538">
        <w:rPr>
          <w:lang w:eastAsia="ar-SA"/>
        </w:rPr>
        <w:t xml:space="preserve"> </w:t>
      </w:r>
      <w:r>
        <w:rPr>
          <w:lang w:eastAsia="ar-SA"/>
        </w:rPr>
        <w:t>достъпност и яснота, сравнимост и логическа обвързаност.</w:t>
      </w:r>
    </w:p>
    <w:p w:rsidR="00AA57B1" w:rsidRPr="00524355" w:rsidRDefault="00AA57B1" w:rsidP="00DC4731">
      <w:pPr>
        <w:rPr>
          <w:lang w:eastAsia="ar-SA"/>
        </w:rPr>
      </w:pPr>
      <w:r w:rsidRPr="00AA57B1">
        <w:rPr>
          <w:lang w:eastAsia="ar-SA"/>
        </w:rPr>
        <w:t>Регламентираните в чл. 7, ал. 2,  т. 11 и т. 15 от ЗЕВИ компетентности на изпълнителния директор на АУЕР да организира популяризиране на мерките за насърчаване производството и потреблението на електрическа енергия, както да организира информационни и обучителни кампании за мерките за подпомагане, ползите и практическите особености на развитието и използването на електрическа енергия</w:t>
      </w:r>
      <w:r>
        <w:rPr>
          <w:lang w:eastAsia="ar-SA"/>
        </w:rPr>
        <w:t>, също</w:t>
      </w:r>
      <w:r w:rsidRPr="00AA57B1">
        <w:rPr>
          <w:lang w:eastAsia="ar-SA"/>
        </w:rPr>
        <w:t xml:space="preserve"> са пряко свързани с предвидените в предварително дефинирания проект дейности по </w:t>
      </w:r>
      <w:r w:rsidRPr="00524355">
        <w:rPr>
          <w:lang w:eastAsia="ar-SA"/>
        </w:rPr>
        <w:t>обучение</w:t>
      </w:r>
      <w:r w:rsidRPr="00AA57B1">
        <w:rPr>
          <w:lang w:eastAsia="ar-SA"/>
        </w:rPr>
        <w:t>, публичност и комуникация</w:t>
      </w:r>
      <w:r>
        <w:rPr>
          <w:lang w:eastAsia="ar-SA"/>
        </w:rPr>
        <w:t xml:space="preserve">. Дейностите ще се изпълняват от служители на АУЕР с помощта на служители на партньора </w:t>
      </w:r>
      <w:r w:rsidRPr="00AA57B1">
        <w:rPr>
          <w:lang w:eastAsia="ar-SA"/>
        </w:rPr>
        <w:t xml:space="preserve">по проекта </w:t>
      </w:r>
      <w:r>
        <w:rPr>
          <w:lang w:eastAsia="ar-SA"/>
        </w:rPr>
        <w:t>„</w:t>
      </w:r>
      <w:r w:rsidRPr="00AA57B1">
        <w:rPr>
          <w:lang w:eastAsia="ar-SA"/>
        </w:rPr>
        <w:t>Дирекция за водни ресурси и енергия</w:t>
      </w:r>
      <w:r>
        <w:rPr>
          <w:lang w:eastAsia="ar-SA"/>
        </w:rPr>
        <w:t>“</w:t>
      </w:r>
      <w:r w:rsidRPr="00AA57B1">
        <w:rPr>
          <w:lang w:eastAsia="ar-SA"/>
        </w:rPr>
        <w:t>(</w:t>
      </w:r>
      <w:proofErr w:type="spellStart"/>
      <w:r w:rsidRPr="00AA57B1">
        <w:rPr>
          <w:lang w:eastAsia="ar-SA"/>
        </w:rPr>
        <w:t>NVE</w:t>
      </w:r>
      <w:proofErr w:type="spellEnd"/>
      <w:r w:rsidRPr="00AA57B1">
        <w:rPr>
          <w:lang w:eastAsia="ar-SA"/>
        </w:rPr>
        <w:t>)</w:t>
      </w:r>
      <w:r>
        <w:rPr>
          <w:lang w:eastAsia="ar-SA"/>
        </w:rPr>
        <w:t>, която</w:t>
      </w:r>
      <w:r w:rsidRPr="00AA57B1">
        <w:rPr>
          <w:lang w:eastAsia="ar-SA"/>
        </w:rPr>
        <w:t xml:space="preserve"> е структура към Министерство на петрола и енергетиката на Кралство Норвегия</w:t>
      </w:r>
      <w:r>
        <w:rPr>
          <w:lang w:eastAsia="ar-SA"/>
        </w:rPr>
        <w:t>, или от изпълнители определени по реда на Закона за обществените поръчки</w:t>
      </w:r>
      <w:r w:rsidR="005D7CE5">
        <w:rPr>
          <w:lang w:eastAsia="ar-SA"/>
        </w:rPr>
        <w:t xml:space="preserve"> </w:t>
      </w:r>
      <w:r w:rsidR="005D7CE5" w:rsidRPr="00524355">
        <w:rPr>
          <w:lang w:eastAsia="ar-SA"/>
        </w:rPr>
        <w:t>(</w:t>
      </w:r>
      <w:r w:rsidR="005D7CE5">
        <w:rPr>
          <w:lang w:eastAsia="ar-SA"/>
        </w:rPr>
        <w:t>ЗОП</w:t>
      </w:r>
      <w:r w:rsidR="005D7CE5" w:rsidRPr="00524355">
        <w:rPr>
          <w:lang w:eastAsia="ar-SA"/>
        </w:rPr>
        <w:t>)</w:t>
      </w:r>
      <w:r w:rsidR="005D7CE5">
        <w:rPr>
          <w:lang w:eastAsia="ar-SA"/>
        </w:rPr>
        <w:t>, чрез провеждането на открита, прозрачна, достатъчно добре разгласена, недискриминационна и безусловна процедура.</w:t>
      </w:r>
    </w:p>
    <w:p w:rsidR="00473E7F" w:rsidRPr="00473E7F" w:rsidRDefault="00473E7F" w:rsidP="00AD2BF3">
      <w:pPr>
        <w:rPr>
          <w:lang w:eastAsia="ar-SA"/>
        </w:rPr>
      </w:pPr>
      <w:r w:rsidRPr="00C60A74">
        <w:rPr>
          <w:lang w:eastAsia="ar-SA"/>
        </w:rPr>
        <w:lastRenderedPageBreak/>
        <w:t xml:space="preserve">Съгласно т.17 от Съобщение на Комисията </w:t>
      </w:r>
      <w:r w:rsidRPr="00C60A74">
        <w:rPr>
          <w:i/>
          <w:lang w:eastAsia="ar-SA"/>
        </w:rPr>
        <w:t>“ Известие на Комисията за понятието за държавна помощ съгла</w:t>
      </w:r>
      <w:r w:rsidR="00C60A74" w:rsidRPr="00C60A74">
        <w:rPr>
          <w:i/>
          <w:lang w:eastAsia="ar-SA"/>
        </w:rPr>
        <w:t xml:space="preserve">сно член 107 параграф 1 от </w:t>
      </w:r>
      <w:proofErr w:type="spellStart"/>
      <w:r w:rsidR="00C60A74" w:rsidRPr="00C60A74">
        <w:rPr>
          <w:i/>
          <w:lang w:eastAsia="ar-SA"/>
        </w:rPr>
        <w:t>ДФЕС</w:t>
      </w:r>
      <w:proofErr w:type="spellEnd"/>
      <w:r w:rsidRPr="00C60A74">
        <w:rPr>
          <w:i/>
          <w:lang w:eastAsia="ar-SA"/>
        </w:rPr>
        <w:t>“</w:t>
      </w:r>
      <w:r w:rsidRPr="00C60A74">
        <w:rPr>
          <w:lang w:eastAsia="ar-SA"/>
        </w:rPr>
        <w:t xml:space="preserve">, чл.107, параграф 1 от </w:t>
      </w:r>
      <w:proofErr w:type="spellStart"/>
      <w:r w:rsidRPr="00C60A74">
        <w:rPr>
          <w:lang w:eastAsia="ar-SA"/>
        </w:rPr>
        <w:t>ДФЕС</w:t>
      </w:r>
      <w:proofErr w:type="spellEnd"/>
      <w:r w:rsidRPr="00C60A74">
        <w:rPr>
          <w:lang w:eastAsia="ar-SA"/>
        </w:rPr>
        <w:t xml:space="preserve"> не се прилага когато държавата действа при упражняване на „публични правомощия“ или когато </w:t>
      </w:r>
      <w:proofErr w:type="spellStart"/>
      <w:r w:rsidRPr="00C60A74">
        <w:rPr>
          <w:lang w:eastAsia="ar-SA"/>
        </w:rPr>
        <w:t>публично</w:t>
      </w:r>
      <w:r w:rsidR="00C60A74">
        <w:rPr>
          <w:lang w:eastAsia="ar-SA"/>
        </w:rPr>
        <w:t>правни</w:t>
      </w:r>
      <w:proofErr w:type="spellEnd"/>
      <w:r w:rsidR="00C60A74">
        <w:rPr>
          <w:lang w:eastAsia="ar-SA"/>
        </w:rPr>
        <w:t xml:space="preserve"> субекти действат в „</w:t>
      </w:r>
      <w:r w:rsidRPr="00C60A74">
        <w:rPr>
          <w:lang w:eastAsia="ar-SA"/>
        </w:rPr>
        <w:t>качеството си на публични органи“. Може да се смята, че даден субект действа при упражняване на публични правомощия, когато дейността представлява задача, която е част от основните функции на държавата или е свързана с тези функции по естеството си, целта си и</w:t>
      </w:r>
      <w:r w:rsidR="00A54663" w:rsidRPr="00C60A74">
        <w:rPr>
          <w:lang w:eastAsia="ar-SA"/>
        </w:rPr>
        <w:t xml:space="preserve"> разпоредбите, на които подлежи.</w:t>
      </w:r>
    </w:p>
    <w:p w:rsidR="00AD2BF3" w:rsidRPr="00AD2BF3" w:rsidRDefault="00AD2BF3" w:rsidP="00AD2BF3">
      <w:pPr>
        <w:rPr>
          <w:lang w:eastAsia="ar-SA"/>
        </w:rPr>
      </w:pPr>
      <w:r w:rsidRPr="00AD2BF3">
        <w:rPr>
          <w:lang w:eastAsia="ar-SA"/>
        </w:rPr>
        <w:t>Дейностите, които се изпълняват от АУЕР  не са икономически по своя характер и такива дейности не се извършват в страната от други субекти,  поради което не е налице конкурентна среда.</w:t>
      </w:r>
    </w:p>
    <w:p w:rsidR="00FF26E1" w:rsidRPr="000E5D20" w:rsidRDefault="00FF26E1" w:rsidP="00DC4731">
      <w:pPr>
        <w:rPr>
          <w:lang w:eastAsia="ar-SA"/>
        </w:rPr>
      </w:pPr>
      <w:r>
        <w:rPr>
          <w:lang w:eastAsia="ar-SA"/>
        </w:rPr>
        <w:t>Ц</w:t>
      </w:r>
      <w:r w:rsidRPr="00311F24">
        <w:rPr>
          <w:lang w:eastAsia="ar-SA"/>
        </w:rPr>
        <w:t>елевите групи по настоящата процедура чрез директно предоставяне на безвъзмез</w:t>
      </w:r>
      <w:r>
        <w:rPr>
          <w:lang w:eastAsia="ar-SA"/>
        </w:rPr>
        <w:t>дна финансова помощ са посочените в т.11 от насоките. Това са о</w:t>
      </w:r>
      <w:r w:rsidRPr="00311F24">
        <w:rPr>
          <w:lang w:eastAsia="ar-SA"/>
        </w:rPr>
        <w:t>бщин</w:t>
      </w:r>
      <w:r>
        <w:rPr>
          <w:lang w:eastAsia="ar-SA"/>
        </w:rPr>
        <w:t>ски администрации, в</w:t>
      </w:r>
      <w:r w:rsidRPr="00311F24">
        <w:rPr>
          <w:lang w:eastAsia="ar-SA"/>
        </w:rPr>
        <w:t>одоснабдителни дружества, установени в България</w:t>
      </w:r>
      <w:r>
        <w:rPr>
          <w:lang w:eastAsia="ar-SA"/>
        </w:rPr>
        <w:t>, и</w:t>
      </w:r>
      <w:r w:rsidRPr="00311F24">
        <w:rPr>
          <w:lang w:eastAsia="ar-SA"/>
        </w:rPr>
        <w:t xml:space="preserve">нституции и агенции, свързани със създаването и изпълнението на политиките в областта на енергията от възобновяеми източници, ограничаване на въздействието върху климата, </w:t>
      </w:r>
      <w:r w:rsidRPr="00311F24">
        <w:t>развитието и управлението на отрасъл водоснабдяване и канализация</w:t>
      </w:r>
      <w:r w:rsidR="00F27980">
        <w:rPr>
          <w:lang w:eastAsia="ar-SA"/>
        </w:rPr>
        <w:t>, които са ползватели на публичния резултат от изследването.</w:t>
      </w:r>
    </w:p>
    <w:p w:rsidR="00EE6921" w:rsidRDefault="00EE6921" w:rsidP="00204332">
      <w:pPr>
        <w:rPr>
          <w:lang w:eastAsia="ar-SA"/>
        </w:rPr>
      </w:pPr>
      <w:r w:rsidRPr="003B4C61">
        <w:rPr>
          <w:lang w:eastAsia="ar-SA"/>
        </w:rPr>
        <w:t>Те</w:t>
      </w:r>
      <w:r w:rsidR="00E45538" w:rsidRPr="003B4C61">
        <w:rPr>
          <w:lang w:eastAsia="ar-SA"/>
        </w:rPr>
        <w:t>зи целеви групи</w:t>
      </w:r>
      <w:r w:rsidR="00900D07" w:rsidRPr="003B4C61">
        <w:rPr>
          <w:lang w:eastAsia="ar-SA"/>
        </w:rPr>
        <w:t xml:space="preserve"> заедно с АУЕР</w:t>
      </w:r>
      <w:r w:rsidRPr="003B4C61">
        <w:rPr>
          <w:lang w:eastAsia="ar-SA"/>
        </w:rPr>
        <w:t xml:space="preserve"> </w:t>
      </w:r>
      <w:r w:rsidR="00E45538" w:rsidRPr="003B4C61">
        <w:rPr>
          <w:lang w:eastAsia="ar-SA"/>
        </w:rPr>
        <w:t xml:space="preserve">ще </w:t>
      </w:r>
      <w:r w:rsidRPr="003B4C61">
        <w:rPr>
          <w:lang w:eastAsia="ar-SA"/>
        </w:rPr>
        <w:t xml:space="preserve">са ползватели на резултата от </w:t>
      </w:r>
      <w:r w:rsidR="00E45538" w:rsidRPr="003B4C61">
        <w:rPr>
          <w:lang w:eastAsia="ar-SA"/>
        </w:rPr>
        <w:t>изготвеното проучване</w:t>
      </w:r>
      <w:r w:rsidRPr="003B4C61">
        <w:rPr>
          <w:lang w:eastAsia="ar-SA"/>
        </w:rPr>
        <w:t>, к</w:t>
      </w:r>
      <w:r>
        <w:rPr>
          <w:lang w:eastAsia="ar-SA"/>
        </w:rPr>
        <w:t>оето съобразно дейностите по проекта е разделен</w:t>
      </w:r>
      <w:r w:rsidR="00A04E30">
        <w:rPr>
          <w:lang w:eastAsia="ar-SA"/>
        </w:rPr>
        <w:t>о</w:t>
      </w:r>
      <w:r>
        <w:rPr>
          <w:lang w:eastAsia="ar-SA"/>
        </w:rPr>
        <w:t xml:space="preserve"> на две – публичен </w:t>
      </w:r>
      <w:r w:rsidR="00A04E30">
        <w:rPr>
          <w:lang w:eastAsia="ar-SA"/>
        </w:rPr>
        <w:t>модул и поверителна информация, която остава собственост на АУЕР.</w:t>
      </w:r>
    </w:p>
    <w:p w:rsidR="00CF32AA" w:rsidRDefault="00CF32AA" w:rsidP="00CF32AA">
      <w:pPr>
        <w:rPr>
          <w:b/>
          <w:lang w:eastAsia="ar-SA"/>
        </w:rPr>
      </w:pPr>
      <w:r w:rsidRPr="00CF32AA">
        <w:rPr>
          <w:b/>
          <w:lang w:eastAsia="ar-SA"/>
        </w:rPr>
        <w:t>Анализът, който ще бъде продукт от извършените изследвания, ще съдържа общи принципни</w:t>
      </w:r>
      <w:r w:rsidR="00E45538">
        <w:rPr>
          <w:b/>
          <w:lang w:eastAsia="ar-SA"/>
        </w:rPr>
        <w:t xml:space="preserve"> правила, базирани на съответен</w:t>
      </w:r>
      <w:r w:rsidRPr="00CF32AA">
        <w:rPr>
          <w:b/>
          <w:lang w:eastAsia="ar-SA"/>
        </w:rPr>
        <w:t xml:space="preserve"> подход при ползването на базата данни с публичен достъп. </w:t>
      </w:r>
    </w:p>
    <w:p w:rsidR="00CF32AA" w:rsidRPr="00DB7554" w:rsidRDefault="00CF32AA" w:rsidP="00D7558F">
      <w:pPr>
        <w:rPr>
          <w:b/>
          <w:lang w:eastAsia="ar-SA"/>
        </w:rPr>
      </w:pPr>
      <w:r w:rsidRPr="00CF32AA">
        <w:rPr>
          <w:b/>
          <w:lang w:eastAsia="ar-SA"/>
        </w:rPr>
        <w:t>Резултатите от изготвеното проучване за осъществимост,</w:t>
      </w:r>
      <w:r>
        <w:rPr>
          <w:b/>
          <w:lang w:eastAsia="ar-SA"/>
        </w:rPr>
        <w:t xml:space="preserve"> ще бъдат предоставяни</w:t>
      </w:r>
      <w:r w:rsidRPr="00CF32AA">
        <w:rPr>
          <w:b/>
          <w:lang w:eastAsia="ar-SA"/>
        </w:rPr>
        <w:t xml:space="preserve"> безвъзмездно на всички заинтересовани лица чрез публикуването на информация на официалната интернет страница на АУЕР</w:t>
      </w:r>
      <w:r>
        <w:rPr>
          <w:b/>
          <w:lang w:eastAsia="ar-SA"/>
        </w:rPr>
        <w:t>.</w:t>
      </w:r>
    </w:p>
    <w:p w:rsidR="00D638A8" w:rsidRDefault="00D638A8" w:rsidP="00DC4731">
      <w:pPr>
        <w:rPr>
          <w:lang w:eastAsia="ar-SA"/>
        </w:rPr>
      </w:pPr>
      <w:r w:rsidRPr="00D638A8">
        <w:rPr>
          <w:lang w:eastAsia="ar-SA"/>
        </w:rPr>
        <w:t xml:space="preserve">С оглед на посоченото може да се направи изводът, че </w:t>
      </w:r>
      <w:r>
        <w:rPr>
          <w:lang w:eastAsia="ar-SA"/>
        </w:rPr>
        <w:t xml:space="preserve">предоставяната </w:t>
      </w:r>
      <w:proofErr w:type="spellStart"/>
      <w:r>
        <w:rPr>
          <w:lang w:eastAsia="ar-SA"/>
        </w:rPr>
        <w:t>БФП</w:t>
      </w:r>
      <w:proofErr w:type="spellEnd"/>
      <w:r>
        <w:rPr>
          <w:lang w:eastAsia="ar-SA"/>
        </w:rPr>
        <w:t xml:space="preserve"> по настоящите насоки</w:t>
      </w:r>
      <w:r w:rsidRPr="00D638A8">
        <w:rPr>
          <w:lang w:eastAsia="ar-SA"/>
        </w:rPr>
        <w:t xml:space="preserve">, попада извън обхвата на правилата </w:t>
      </w:r>
      <w:r>
        <w:rPr>
          <w:lang w:eastAsia="ar-SA"/>
        </w:rPr>
        <w:t>по държавните помощи за бенефициента</w:t>
      </w:r>
      <w:r w:rsidRPr="00D638A8">
        <w:rPr>
          <w:lang w:eastAsia="ar-SA"/>
        </w:rPr>
        <w:t>, тъй като представлява трансфер на средства от един публичен орган към друг</w:t>
      </w:r>
      <w:r w:rsidR="00E45538">
        <w:rPr>
          <w:lang w:eastAsia="ar-SA"/>
        </w:rPr>
        <w:t>,</w:t>
      </w:r>
      <w:r w:rsidRPr="000E5D20">
        <w:rPr>
          <w:lang w:eastAsia="ar-SA"/>
        </w:rPr>
        <w:t xml:space="preserve"> </w:t>
      </w:r>
      <w:r w:rsidRPr="00D638A8">
        <w:rPr>
          <w:lang w:eastAsia="ar-SA"/>
        </w:rPr>
        <w:t xml:space="preserve">с оглед изпълнение на </w:t>
      </w:r>
      <w:r w:rsidR="006E646E">
        <w:rPr>
          <w:lang w:eastAsia="ar-SA"/>
        </w:rPr>
        <w:t>законово определени правомощия.</w:t>
      </w:r>
    </w:p>
    <w:p w:rsidR="000305A1" w:rsidRPr="005D5067" w:rsidRDefault="005D5067" w:rsidP="00DC4731">
      <w:pPr>
        <w:rPr>
          <w:b/>
          <w:lang w:eastAsia="ar-SA"/>
        </w:rPr>
      </w:pPr>
      <w:r w:rsidRPr="005D5067">
        <w:rPr>
          <w:b/>
          <w:lang w:eastAsia="ar-SA"/>
        </w:rPr>
        <w:t>ЗА ПАРТНЬОРА</w:t>
      </w:r>
    </w:p>
    <w:p w:rsidR="003E170C" w:rsidRPr="000E5D20" w:rsidRDefault="003E170C" w:rsidP="003E170C">
      <w:pPr>
        <w:rPr>
          <w:lang w:eastAsia="ar-SA"/>
        </w:rPr>
      </w:pPr>
      <w:r w:rsidRPr="00F34E2A">
        <w:rPr>
          <w:lang w:eastAsia="ar-SA"/>
        </w:rPr>
        <w:t>Партньорът по проекта Дирекция за водни ресурси и енергия (</w:t>
      </w:r>
      <w:proofErr w:type="spellStart"/>
      <w:r w:rsidRPr="00F34E2A">
        <w:rPr>
          <w:lang w:eastAsia="ar-SA"/>
        </w:rPr>
        <w:t>NVE</w:t>
      </w:r>
      <w:proofErr w:type="spellEnd"/>
      <w:r w:rsidRPr="00F34E2A">
        <w:rPr>
          <w:lang w:eastAsia="ar-SA"/>
        </w:rPr>
        <w:t>) е структура към Министерство на петрола и енергетиката на Кралство Норвегия</w:t>
      </w:r>
      <w:r w:rsidR="00940C84" w:rsidRPr="000E5D20">
        <w:rPr>
          <w:lang w:eastAsia="ar-SA"/>
        </w:rPr>
        <w:t>.</w:t>
      </w:r>
      <w:r w:rsidRPr="00F34E2A">
        <w:rPr>
          <w:lang w:eastAsia="ar-SA"/>
        </w:rPr>
        <w:t xml:space="preserve"> </w:t>
      </w:r>
      <w:r w:rsidR="00B01ED6">
        <w:rPr>
          <w:lang w:eastAsia="ar-SA"/>
        </w:rPr>
        <w:t>Дирекцията е определена за партньор по проекта на АУЕР с</w:t>
      </w:r>
      <w:r w:rsidR="00B01ED6" w:rsidRPr="00B01ED6">
        <w:rPr>
          <w:lang w:eastAsia="ar-SA"/>
        </w:rPr>
        <w:t>ъгласно анекс 2, т.5.1. Предварително дефинирани проекти на</w:t>
      </w:r>
      <w:r w:rsidR="00B01ED6">
        <w:rPr>
          <w:lang w:eastAsia="ar-SA"/>
        </w:rPr>
        <w:t xml:space="preserve"> </w:t>
      </w:r>
      <w:r w:rsidR="00B01ED6" w:rsidRPr="00B01ED6">
        <w:rPr>
          <w:lang w:eastAsia="ar-SA"/>
        </w:rPr>
        <w:t xml:space="preserve">Споразумението за изпълнение  </w:t>
      </w:r>
      <w:r w:rsidR="00B01ED6">
        <w:rPr>
          <w:lang w:eastAsia="ar-SA"/>
        </w:rPr>
        <w:t>на програмата, сключено между Комитета на Финансовия механизъм на Исландия, Лихтенщайн и Норвегия и Дирекция „Централно координационно звено“ в Министерския съвет.</w:t>
      </w:r>
    </w:p>
    <w:p w:rsidR="00940C84" w:rsidRPr="000305A1" w:rsidRDefault="000305A1" w:rsidP="00940C84">
      <w:pPr>
        <w:rPr>
          <w:lang w:eastAsia="ar-SA"/>
        </w:rPr>
      </w:pPr>
      <w:r>
        <w:rPr>
          <w:lang w:eastAsia="ar-SA"/>
        </w:rPr>
        <w:t xml:space="preserve">Дирекцията ще подпомогне с опита си дейностите по проекта в качеството си на публичен орган, </w:t>
      </w:r>
      <w:r w:rsidRPr="000305A1">
        <w:rPr>
          <w:lang w:eastAsia="ar-SA"/>
        </w:rPr>
        <w:t>не е предприятие по смисъла на чл.107, § 1 от Договора за функциониране</w:t>
      </w:r>
      <w:r>
        <w:rPr>
          <w:lang w:eastAsia="ar-SA"/>
        </w:rPr>
        <w:t xml:space="preserve"> на Европейския съюз (</w:t>
      </w:r>
      <w:proofErr w:type="spellStart"/>
      <w:r>
        <w:rPr>
          <w:lang w:eastAsia="ar-SA"/>
        </w:rPr>
        <w:t>ДФЕС</w:t>
      </w:r>
      <w:proofErr w:type="spellEnd"/>
      <w:r>
        <w:rPr>
          <w:lang w:eastAsia="ar-SA"/>
        </w:rPr>
        <w:t>) и няма да извършва стопанска дейност за целите на проекта,</w:t>
      </w:r>
      <w:r w:rsidR="00245CC5">
        <w:rPr>
          <w:lang w:eastAsia="ar-SA"/>
        </w:rPr>
        <w:t xml:space="preserve"> </w:t>
      </w:r>
      <w:r w:rsidR="001B0BAA">
        <w:rPr>
          <w:lang w:eastAsia="ar-SA"/>
        </w:rPr>
        <w:t xml:space="preserve">като </w:t>
      </w:r>
      <w:r w:rsidR="00245CC5">
        <w:rPr>
          <w:lang w:eastAsia="ar-SA"/>
        </w:rPr>
        <w:t xml:space="preserve">свързаното с тези насоки финансиране </w:t>
      </w:r>
      <w:r>
        <w:rPr>
          <w:lang w:eastAsia="ar-SA"/>
        </w:rPr>
        <w:t xml:space="preserve"> се явява „не помощ“.</w:t>
      </w:r>
    </w:p>
    <w:p w:rsidR="003E170C" w:rsidRPr="008F0D66" w:rsidRDefault="00327995" w:rsidP="003E170C">
      <w:pPr>
        <w:rPr>
          <w:b/>
          <w:lang w:eastAsia="ar-SA"/>
        </w:rPr>
      </w:pPr>
      <w:r w:rsidRPr="008F0D66">
        <w:rPr>
          <w:b/>
          <w:lang w:eastAsia="ar-SA"/>
        </w:rPr>
        <w:t>При спазване на посочените условия, средствата предоставени на Бенефициента и Партньора</w:t>
      </w:r>
      <w:r w:rsidR="008F0D66" w:rsidRPr="008F0D66">
        <w:rPr>
          <w:b/>
          <w:lang w:eastAsia="ar-SA"/>
        </w:rPr>
        <w:t xml:space="preserve"> по настоящата процедура</w:t>
      </w:r>
      <w:r w:rsidR="00094156" w:rsidRPr="008F0D66">
        <w:rPr>
          <w:b/>
          <w:lang w:eastAsia="ar-SA"/>
        </w:rPr>
        <w:t>, не представляват държавна помощ.</w:t>
      </w:r>
    </w:p>
    <w:p w:rsidR="00295166" w:rsidRPr="007F5255" w:rsidRDefault="0054168A" w:rsidP="0054168A">
      <w:pPr>
        <w:pStyle w:val="Heading1"/>
        <w:rPr>
          <w:lang w:val="bg-BG"/>
        </w:rPr>
      </w:pPr>
      <w:bookmarkStart w:id="28" w:name="_Toc4745728"/>
      <w:r w:rsidRPr="007F5255">
        <w:rPr>
          <w:lang w:val="bg-BG"/>
        </w:rPr>
        <w:lastRenderedPageBreak/>
        <w:t>МИНИМАЛЕН И МАКСИМАЛЕН СРОК ЗА ИЗПЪЛНЕНИЕ НА ПРОЕКТА</w:t>
      </w:r>
      <w:bookmarkEnd w:id="28"/>
    </w:p>
    <w:p w:rsidR="006A3C72" w:rsidRDefault="006A3C72" w:rsidP="006A3C72">
      <w:pPr>
        <w:rPr>
          <w:lang w:eastAsia="ar-SA"/>
        </w:rPr>
      </w:pPr>
      <w:r w:rsidRPr="007F5255">
        <w:rPr>
          <w:lang w:eastAsia="ar-SA"/>
        </w:rPr>
        <w:t>Продължителността на изпълнение на проект</w:t>
      </w:r>
      <w:r w:rsidR="001A2DE6" w:rsidRPr="007F5255">
        <w:rPr>
          <w:lang w:eastAsia="ar-SA"/>
        </w:rPr>
        <w:t>а</w:t>
      </w:r>
      <w:r w:rsidRPr="007F5255">
        <w:rPr>
          <w:lang w:eastAsia="ar-SA"/>
        </w:rPr>
        <w:t xml:space="preserve"> не следва да надвишава 1</w:t>
      </w:r>
      <w:r w:rsidR="001A2DE6" w:rsidRPr="007F5255">
        <w:rPr>
          <w:lang w:eastAsia="ar-SA"/>
        </w:rPr>
        <w:t>2</w:t>
      </w:r>
      <w:r w:rsidRPr="007F5255">
        <w:rPr>
          <w:lang w:eastAsia="ar-SA"/>
        </w:rPr>
        <w:t xml:space="preserve"> /</w:t>
      </w:r>
      <w:r w:rsidR="001A2DE6" w:rsidRPr="007F5255">
        <w:rPr>
          <w:lang w:eastAsia="ar-SA"/>
        </w:rPr>
        <w:t>дванадесет</w:t>
      </w:r>
      <w:r w:rsidRPr="007F5255">
        <w:rPr>
          <w:lang w:eastAsia="ar-SA"/>
        </w:rPr>
        <w:t>/ месеца, считано от датата на влизане в сила на договора за предоставяне на безвъзмездна финансова помощ.</w:t>
      </w:r>
    </w:p>
    <w:p w:rsidR="004D4FE5" w:rsidRDefault="004D4FE5" w:rsidP="004D4FE5">
      <w:pPr>
        <w:rPr>
          <w:lang w:eastAsia="ar-SA"/>
        </w:rPr>
      </w:pPr>
      <w:r>
        <w:rPr>
          <w:lang w:eastAsia="ar-SA"/>
        </w:rPr>
        <w:t>Началната дата на допустимост на разходите по Проекта е датата на подписване на договор</w:t>
      </w:r>
      <w:r>
        <w:rPr>
          <w:lang w:val="en-US" w:eastAsia="ar-SA"/>
        </w:rPr>
        <w:t>a</w:t>
      </w:r>
      <w:r w:rsidRPr="004D4FE5">
        <w:t xml:space="preserve"> </w:t>
      </w:r>
      <w:proofErr w:type="spellStart"/>
      <w:r w:rsidRPr="004D4FE5">
        <w:rPr>
          <w:lang w:val="en-US" w:eastAsia="ar-SA"/>
        </w:rPr>
        <w:t>за</w:t>
      </w:r>
      <w:proofErr w:type="spellEnd"/>
      <w:r w:rsidRPr="004D4FE5">
        <w:rPr>
          <w:lang w:val="en-US" w:eastAsia="ar-SA"/>
        </w:rPr>
        <w:t xml:space="preserve"> </w:t>
      </w:r>
      <w:proofErr w:type="spellStart"/>
      <w:r w:rsidRPr="004D4FE5">
        <w:rPr>
          <w:lang w:val="en-US" w:eastAsia="ar-SA"/>
        </w:rPr>
        <w:t>предоставяне</w:t>
      </w:r>
      <w:proofErr w:type="spellEnd"/>
      <w:r w:rsidRPr="004D4FE5">
        <w:rPr>
          <w:lang w:val="en-US" w:eastAsia="ar-SA"/>
        </w:rPr>
        <w:t xml:space="preserve"> </w:t>
      </w:r>
      <w:proofErr w:type="spellStart"/>
      <w:r w:rsidRPr="004D4FE5">
        <w:rPr>
          <w:lang w:val="en-US" w:eastAsia="ar-SA"/>
        </w:rPr>
        <w:t>на</w:t>
      </w:r>
      <w:proofErr w:type="spellEnd"/>
      <w:r w:rsidRPr="004D4FE5">
        <w:rPr>
          <w:lang w:val="en-US" w:eastAsia="ar-SA"/>
        </w:rPr>
        <w:t xml:space="preserve"> </w:t>
      </w:r>
      <w:proofErr w:type="spellStart"/>
      <w:r w:rsidRPr="004D4FE5">
        <w:rPr>
          <w:lang w:val="en-US" w:eastAsia="ar-SA"/>
        </w:rPr>
        <w:t>безвъзмездна</w:t>
      </w:r>
      <w:proofErr w:type="spellEnd"/>
      <w:r w:rsidRPr="004D4FE5">
        <w:rPr>
          <w:lang w:val="en-US" w:eastAsia="ar-SA"/>
        </w:rPr>
        <w:t xml:space="preserve"> </w:t>
      </w:r>
      <w:proofErr w:type="spellStart"/>
      <w:r w:rsidRPr="004D4FE5">
        <w:rPr>
          <w:lang w:val="en-US" w:eastAsia="ar-SA"/>
        </w:rPr>
        <w:t>финансова</w:t>
      </w:r>
      <w:proofErr w:type="spellEnd"/>
      <w:r w:rsidRPr="004D4FE5">
        <w:rPr>
          <w:lang w:val="en-US" w:eastAsia="ar-SA"/>
        </w:rPr>
        <w:t xml:space="preserve"> </w:t>
      </w:r>
      <w:proofErr w:type="spellStart"/>
      <w:r w:rsidRPr="004D4FE5">
        <w:rPr>
          <w:lang w:val="en-US" w:eastAsia="ar-SA"/>
        </w:rPr>
        <w:t>помощ</w:t>
      </w:r>
      <w:proofErr w:type="spellEnd"/>
      <w:r>
        <w:rPr>
          <w:lang w:eastAsia="ar-SA"/>
        </w:rPr>
        <w:t>, а крайната дата е датата, на която изтича срокът, посочен в договора</w:t>
      </w:r>
      <w:r w:rsidR="003D77E0">
        <w:rPr>
          <w:lang w:val="en-US" w:eastAsia="ar-SA"/>
        </w:rPr>
        <w:t>,</w:t>
      </w:r>
      <w:r w:rsidR="003D77E0">
        <w:rPr>
          <w:lang w:eastAsia="ar-SA"/>
        </w:rPr>
        <w:t xml:space="preserve"> но не по-късно от </w:t>
      </w:r>
      <w:r w:rsidR="00412EAE">
        <w:rPr>
          <w:lang w:eastAsia="ar-SA"/>
        </w:rPr>
        <w:t>30 април 2024 г.</w:t>
      </w:r>
      <w:r>
        <w:rPr>
          <w:lang w:eastAsia="ar-SA"/>
        </w:rPr>
        <w:t xml:space="preserve"> </w:t>
      </w:r>
    </w:p>
    <w:p w:rsidR="004D4FE5" w:rsidRPr="007F5255" w:rsidRDefault="004D4FE5" w:rsidP="004D4FE5">
      <w:pPr>
        <w:rPr>
          <w:lang w:eastAsia="ar-SA"/>
        </w:rPr>
      </w:pPr>
      <w:r>
        <w:rPr>
          <w:lang w:eastAsia="ar-SA"/>
        </w:rPr>
        <w:t>По изключение, разходи, по отношение на които е издадена фактура след крайната дата на допустимост, също се считат за извършени в рамките на периода на допустимост, ако плащането е извършено в срок до 30 дни от крайната дата за допустимост.</w:t>
      </w:r>
    </w:p>
    <w:p w:rsidR="002611F8" w:rsidRDefault="004E57FE" w:rsidP="0054168A">
      <w:pPr>
        <w:pStyle w:val="Heading1"/>
        <w:rPr>
          <w:lang w:val="bg-BG"/>
        </w:rPr>
      </w:pPr>
      <w:bookmarkStart w:id="29" w:name="_Toc4745729"/>
      <w:r>
        <w:rPr>
          <w:lang w:val="bg-BG"/>
        </w:rPr>
        <w:t>РЕД ЗА ОЦЕНЯВАНЕ НА ПРОЕКТНОТО</w:t>
      </w:r>
      <w:r w:rsidR="0054168A" w:rsidRPr="007F5255">
        <w:rPr>
          <w:lang w:val="bg-BG"/>
        </w:rPr>
        <w:t xml:space="preserve"> ПРЕДЛОЖЕНИ</w:t>
      </w:r>
      <w:r>
        <w:rPr>
          <w:lang w:val="bg-BG"/>
        </w:rPr>
        <w:t>Е</w:t>
      </w:r>
      <w:bookmarkEnd w:id="29"/>
    </w:p>
    <w:p w:rsidR="004E57FE" w:rsidRDefault="004E57FE" w:rsidP="004E57FE">
      <w:pPr>
        <w:rPr>
          <w:lang w:eastAsia="ar-SA"/>
        </w:rPr>
      </w:pPr>
      <w:r>
        <w:rPr>
          <w:lang w:eastAsia="ar-SA"/>
        </w:rPr>
        <w:t>Съгласно чл. 6.5.3 от Регламента, преди подписване на договор за финансиране на проекта, се извършва проверка и оценка на качеството и приноса на проекта към целите на Програмата, както и съответствието му с националното и европейското законодателство.</w:t>
      </w:r>
    </w:p>
    <w:p w:rsidR="004E57FE" w:rsidRDefault="004E57FE" w:rsidP="004E57FE">
      <w:pPr>
        <w:rPr>
          <w:lang w:eastAsia="ar-SA"/>
        </w:rPr>
      </w:pPr>
      <w:r>
        <w:rPr>
          <w:lang w:eastAsia="ar-SA"/>
        </w:rPr>
        <w:t xml:space="preserve">Подаването на </w:t>
      </w:r>
      <w:r w:rsidRPr="003B4C61">
        <w:rPr>
          <w:lang w:eastAsia="ar-SA"/>
        </w:rPr>
        <w:t>проектн</w:t>
      </w:r>
      <w:r w:rsidR="00E45538" w:rsidRPr="003B4C61">
        <w:rPr>
          <w:lang w:eastAsia="ar-SA"/>
        </w:rPr>
        <w:t>о предложение</w:t>
      </w:r>
      <w:r w:rsidRPr="003B4C61">
        <w:rPr>
          <w:lang w:eastAsia="ar-SA"/>
        </w:rPr>
        <w:t xml:space="preserve"> се </w:t>
      </w:r>
      <w:r>
        <w:rPr>
          <w:lang w:eastAsia="ar-SA"/>
        </w:rPr>
        <w:t>извършва посредством Информационната система за управление и наблюдение ИСУН 2020.</w:t>
      </w:r>
    </w:p>
    <w:p w:rsidR="004E57FE" w:rsidRDefault="004E57FE" w:rsidP="004E57FE">
      <w:pPr>
        <w:rPr>
          <w:lang w:eastAsia="ar-SA"/>
        </w:rPr>
      </w:pPr>
      <w:r>
        <w:rPr>
          <w:lang w:eastAsia="ar-SA"/>
        </w:rPr>
        <w:t xml:space="preserve">Формулярът за кандидатстване и бюджетът на проекта се попълват в ИСУН 2020 на български и английски език, като информацията на двата езика следва да е идентична. При наличие на противоречие между двете версии, с предимство се ползва информацията на английски език. </w:t>
      </w:r>
    </w:p>
    <w:p w:rsidR="004E57FE" w:rsidRDefault="004E57FE" w:rsidP="004E57FE">
      <w:pPr>
        <w:rPr>
          <w:lang w:eastAsia="ar-SA"/>
        </w:rPr>
      </w:pPr>
      <w:r>
        <w:rPr>
          <w:lang w:eastAsia="ar-SA"/>
        </w:rPr>
        <w:t xml:space="preserve">Проектното предложение  трябва да съдържа всички изискуеми документи, посочени в поканата, но не по-малко от следното: попълнен формуляр за кандидатстване, подробно описание на проекта – дейности, целеви групи, анализ на ситуацията, специфични цели и приоритети, индикатори и очаквани резултати, териториален обхват, бюджет на кандидата и партньора, времеви график, споразумение за партньорство или писмо за намерения, комуникационен план, план за външни възлагания, автобиографии на екипа за управление на проекта, информация как проектът допринася към постигането на общите цели на програма „Възобновяема енергия, енергийна ефективност, енергийна сигурност“. </w:t>
      </w:r>
    </w:p>
    <w:p w:rsidR="004E57FE" w:rsidRDefault="004E57FE" w:rsidP="004E57FE">
      <w:pPr>
        <w:rPr>
          <w:lang w:eastAsia="ar-SA"/>
        </w:rPr>
      </w:pPr>
      <w:r>
        <w:rPr>
          <w:lang w:eastAsia="ar-SA"/>
        </w:rPr>
        <w:t>Оценката на качеството на Проекта се извършва посредством Информационната система за управление и наблюдение ИСУН 2020.</w:t>
      </w:r>
    </w:p>
    <w:p w:rsidR="004E57FE" w:rsidRDefault="004E57FE" w:rsidP="004E57FE">
      <w:pPr>
        <w:rPr>
          <w:lang w:eastAsia="ar-SA"/>
        </w:rPr>
      </w:pPr>
      <w:r>
        <w:rPr>
          <w:lang w:eastAsia="ar-SA"/>
        </w:rPr>
        <w:t xml:space="preserve">Оценката на качеството на Проекта се извършва от оценителна комисия, определена със заповед на Ръководителя на ПО. Оценителната комисия се състои от председател и секретар без право на глас (не е задължително включването му) и най-малко двама членове – оценители с право на глас. Определя се и един резервен член-оценител. Членовете на комисията могат да бъдат служители на ПО и/или външни експерти. </w:t>
      </w:r>
    </w:p>
    <w:p w:rsidR="004E57FE" w:rsidRDefault="004E57FE" w:rsidP="004E57FE">
      <w:pPr>
        <w:rPr>
          <w:lang w:eastAsia="ar-SA"/>
        </w:rPr>
      </w:pPr>
      <w:r>
        <w:rPr>
          <w:lang w:eastAsia="ar-SA"/>
        </w:rPr>
        <w:t xml:space="preserve">В заповедта за назначаване на оценителна комисия се определя срок за извършване на оценката на </w:t>
      </w:r>
      <w:r w:rsidRPr="004E57FE">
        <w:rPr>
          <w:lang w:eastAsia="ar-SA"/>
        </w:rPr>
        <w:t>Проекта</w:t>
      </w:r>
      <w:r>
        <w:rPr>
          <w:lang w:eastAsia="ar-SA"/>
        </w:rPr>
        <w:t xml:space="preserve">, който не може да бъде по-дълъг от 3 месеца от датата на подаване на проектното предложение. </w:t>
      </w:r>
    </w:p>
    <w:p w:rsidR="004E57FE" w:rsidRDefault="004E57FE" w:rsidP="004E57FE">
      <w:pPr>
        <w:rPr>
          <w:lang w:eastAsia="ar-SA"/>
        </w:rPr>
      </w:pPr>
      <w:r>
        <w:rPr>
          <w:lang w:eastAsia="ar-SA"/>
        </w:rPr>
        <w:t>Представители на НКЗ се канят да вземат участие в оценителния процес в качеството на наблюдатели.</w:t>
      </w:r>
    </w:p>
    <w:p w:rsidR="004E57FE" w:rsidRDefault="004E57FE" w:rsidP="004E57FE">
      <w:pPr>
        <w:rPr>
          <w:lang w:eastAsia="ar-SA"/>
        </w:rPr>
      </w:pPr>
      <w:r>
        <w:rPr>
          <w:lang w:eastAsia="ar-SA"/>
        </w:rPr>
        <w:lastRenderedPageBreak/>
        <w:t xml:space="preserve">Оценката на проектното предложение се извършва чрез попълване на контролен лист в ИСУН 2020 по критериите, посочени в Насоките за кандидатстване. </w:t>
      </w:r>
    </w:p>
    <w:p w:rsidR="004E57FE" w:rsidRDefault="004E57FE" w:rsidP="004E57FE">
      <w:pPr>
        <w:rPr>
          <w:lang w:eastAsia="ar-SA"/>
        </w:rPr>
      </w:pPr>
      <w:r>
        <w:rPr>
          <w:lang w:eastAsia="ar-SA"/>
        </w:rPr>
        <w:t xml:space="preserve">Председателят на оценителната комисия ръководи организационно и методически работата на оценителната комисия, координира процеса на оценка в съответствие с процедурите, предвидени в релевантната нормативна уредба. Председателят на оценителната комисия осигурява безпристрастност на процеса и следи за спазване на определения със заповедта за назначаване на оценителна комисия срок за оценка. </w:t>
      </w:r>
    </w:p>
    <w:p w:rsidR="004E57FE" w:rsidRDefault="004E57FE" w:rsidP="004E57FE">
      <w:pPr>
        <w:rPr>
          <w:lang w:eastAsia="ar-SA"/>
        </w:rPr>
      </w:pPr>
      <w:r>
        <w:rPr>
          <w:lang w:eastAsia="ar-SA"/>
        </w:rPr>
        <w:t xml:space="preserve">Секретарят подпомага дейността на председателя и изпълнява всички административни дейности, свързани с оценителния процес, вкл. в ИСУН 2020. </w:t>
      </w:r>
    </w:p>
    <w:p w:rsidR="004E57FE" w:rsidRDefault="004E57FE" w:rsidP="004E57FE">
      <w:pPr>
        <w:rPr>
          <w:lang w:eastAsia="ar-SA"/>
        </w:rPr>
      </w:pPr>
      <w:r>
        <w:rPr>
          <w:lang w:eastAsia="ar-SA"/>
        </w:rPr>
        <w:t>Членовете на оценителната комисия с право на глас участват при провеждането на заседанията й, имат равни права при вземането на решенията и носят отговорност за резултатите от оценителния процес.</w:t>
      </w:r>
    </w:p>
    <w:p w:rsidR="004E57FE" w:rsidRDefault="004E57FE" w:rsidP="004E57FE">
      <w:pPr>
        <w:rPr>
          <w:lang w:eastAsia="ar-SA"/>
        </w:rPr>
      </w:pPr>
      <w:r>
        <w:rPr>
          <w:lang w:eastAsia="ar-SA"/>
        </w:rPr>
        <w:t>Наблюдателите не са членове на Оценителната комисия. Те следят за провеждането на оценката в съответствие с процедурите, предвидени в релевантната нормативна уредба.</w:t>
      </w:r>
    </w:p>
    <w:p w:rsidR="004E57FE" w:rsidRDefault="004E57FE" w:rsidP="004E57FE">
      <w:pPr>
        <w:rPr>
          <w:lang w:eastAsia="ar-SA"/>
        </w:rPr>
      </w:pPr>
      <w:r>
        <w:rPr>
          <w:lang w:eastAsia="ar-SA"/>
        </w:rPr>
        <w:t>Наблюдателят присъства на заседанията на комисията и има право да преглежда работата й в ИСУН 2020, като може да участва в обсъжданията, но не може да влияе по какъвто и да е начин при оценяването на проектното предложение.</w:t>
      </w:r>
    </w:p>
    <w:p w:rsidR="004E57FE" w:rsidRDefault="004E57FE" w:rsidP="004E57FE">
      <w:pPr>
        <w:rPr>
          <w:lang w:eastAsia="ar-SA"/>
        </w:rPr>
      </w:pPr>
      <w:r>
        <w:rPr>
          <w:lang w:eastAsia="ar-SA"/>
        </w:rPr>
        <w:t>При констатиране на нарушения на процедурата, наблюдателят е длъжен писмено да информира ръководителя на ПО, с копие до ръководителя на НКЗ.</w:t>
      </w:r>
    </w:p>
    <w:p w:rsidR="004E57FE" w:rsidRDefault="004E57FE" w:rsidP="004E57FE">
      <w:pPr>
        <w:rPr>
          <w:lang w:eastAsia="ar-SA"/>
        </w:rPr>
      </w:pPr>
      <w:r>
        <w:rPr>
          <w:lang w:eastAsia="ar-SA"/>
        </w:rPr>
        <w:t>Във връзка с осъществяването на оценката в ИСУН 2020, поради необходимостта от администриране на дейностите, извършвани по време на оценителния процес, на председателя и секретаря на оценителната комисия се предоставят права на администратор на оценителна сесия. На членовете на оценителната комисия с право на глас, се предоставят права на оценители. На наблюдателя се предоставят права на наблюдател, без право на глас при вземането на решения и без да влияе на оценителния процес.</w:t>
      </w:r>
    </w:p>
    <w:p w:rsidR="004E57FE" w:rsidRDefault="004E57FE" w:rsidP="004E57FE">
      <w:pPr>
        <w:rPr>
          <w:lang w:eastAsia="ar-SA"/>
        </w:rPr>
      </w:pPr>
      <w:r>
        <w:rPr>
          <w:lang w:eastAsia="ar-SA"/>
        </w:rPr>
        <w:t xml:space="preserve">Председателят, членовете и наблюдателите подписват декларация за поверителност, безпристрастност и липса на конфликт на интереси. Резервният член на оценителната комисия попълва декларацията и участва в заседанията на комисията, само ако бъде включен в процедурата по оценка. </w:t>
      </w:r>
    </w:p>
    <w:p w:rsidR="004E57FE" w:rsidRDefault="004E57FE" w:rsidP="004E57FE">
      <w:pPr>
        <w:rPr>
          <w:lang w:eastAsia="ar-SA"/>
        </w:rPr>
      </w:pPr>
      <w:r>
        <w:rPr>
          <w:lang w:eastAsia="ar-SA"/>
        </w:rPr>
        <w:t xml:space="preserve">Декларациите се подписват и предоставят на председателя на комисията на първото заседание на оценителната комисия, както и при всяка промяна в декларираните обстоятелства, възникнала в хода на оценката. </w:t>
      </w:r>
    </w:p>
    <w:p w:rsidR="004E57FE" w:rsidRDefault="004E57FE" w:rsidP="004E57FE">
      <w:pPr>
        <w:rPr>
          <w:lang w:eastAsia="ar-SA"/>
        </w:rPr>
      </w:pPr>
      <w:r>
        <w:rPr>
          <w:lang w:eastAsia="ar-SA"/>
        </w:rPr>
        <w:t>Проверката за конфликт на интереси по отношение на председателя и членовете на оценителната комисия се извършва от секретаря, а по отношение на секретаря – от председателя.</w:t>
      </w:r>
    </w:p>
    <w:p w:rsidR="004E57FE" w:rsidRDefault="004E57FE" w:rsidP="004E57FE">
      <w:pPr>
        <w:rPr>
          <w:lang w:eastAsia="ar-SA"/>
        </w:rPr>
      </w:pPr>
      <w:r>
        <w:rPr>
          <w:lang w:eastAsia="ar-SA"/>
        </w:rPr>
        <w:t>В случаите на конфликт на интереси, свързаност или йерархична зависимост, съответните лица се отстраняват от участие в процедурата по оценяване.</w:t>
      </w:r>
    </w:p>
    <w:p w:rsidR="004E57FE" w:rsidRDefault="004E57FE" w:rsidP="004E57FE">
      <w:pPr>
        <w:rPr>
          <w:lang w:eastAsia="ar-SA"/>
        </w:rPr>
      </w:pPr>
      <w:r>
        <w:rPr>
          <w:lang w:eastAsia="ar-SA"/>
        </w:rPr>
        <w:t xml:space="preserve">Когато член на комисията не може да изпълнява задълженията си, същият се замества от резервен член, като това обстоятелство се посочва в доклада на комисията. Резервният член, който замества </w:t>
      </w:r>
      <w:proofErr w:type="spellStart"/>
      <w:r>
        <w:rPr>
          <w:lang w:eastAsia="ar-SA"/>
        </w:rPr>
        <w:t>титуляра</w:t>
      </w:r>
      <w:proofErr w:type="spellEnd"/>
      <w:r>
        <w:rPr>
          <w:lang w:eastAsia="ar-SA"/>
        </w:rPr>
        <w:t>, подписва декларация за поверителност, безпристрастност и липса на конфликт на интереси.</w:t>
      </w:r>
    </w:p>
    <w:p w:rsidR="004E57FE" w:rsidRDefault="004E57FE" w:rsidP="004E57FE">
      <w:pPr>
        <w:rPr>
          <w:lang w:eastAsia="ar-SA"/>
        </w:rPr>
      </w:pPr>
      <w:r>
        <w:rPr>
          <w:lang w:eastAsia="ar-SA"/>
        </w:rPr>
        <w:lastRenderedPageBreak/>
        <w:t>Всички решения на оценителната комисия се взимат с единодушие. При липса на единодушие се включва резервен член на оценителната комисия с право на глас и решението се взима с мнозинство. Когато резервният член е заместил член на оценителната комисия, при липса на единодушие ПО определя допълнителен резервен член.</w:t>
      </w:r>
    </w:p>
    <w:p w:rsidR="004E57FE" w:rsidRDefault="004E57FE" w:rsidP="004E57FE">
      <w:pPr>
        <w:rPr>
          <w:lang w:eastAsia="ar-SA"/>
        </w:rPr>
      </w:pPr>
      <w:r>
        <w:rPr>
          <w:lang w:eastAsia="ar-SA"/>
        </w:rPr>
        <w:t>В заседанията на оценителната комисия имат право да участват единствено лицата, определени от ръководителя на ПО в заповедта.</w:t>
      </w:r>
    </w:p>
    <w:p w:rsidR="004E57FE" w:rsidRDefault="004E57FE" w:rsidP="004E57FE">
      <w:pPr>
        <w:rPr>
          <w:lang w:eastAsia="ar-SA"/>
        </w:rPr>
      </w:pPr>
      <w:r>
        <w:rPr>
          <w:lang w:eastAsia="ar-SA"/>
        </w:rPr>
        <w:t xml:space="preserve">Когато членовете с право на глас констатират пропуски/несъответствия с предварително оповестените изисквания, същите изготвят писмо до кандидата с описание на пропуските и исканите допълнителни документи/информация и определят подходящ срок за представянето им, който не може да бъде по-дълъг от 10 работни дни. Писмото се подписва от председателя на комисията и се изпраща до кандидата от секретаря чрез модул „Комуникации“ в ИСУН. Кандидатът по Проекта има право да коригира проектното предложение/представи допълнителни документи и/или информация в срока, посочен в писмото. </w:t>
      </w:r>
    </w:p>
    <w:p w:rsidR="004E57FE" w:rsidRDefault="004E57FE" w:rsidP="004E57FE">
      <w:pPr>
        <w:rPr>
          <w:lang w:eastAsia="ar-SA"/>
        </w:rPr>
      </w:pPr>
      <w:r>
        <w:rPr>
          <w:lang w:eastAsia="ar-SA"/>
        </w:rPr>
        <w:t xml:space="preserve">След получаване на всички необходими документи/информация, проектното предложение се оценява от членовете на комисията с право на глас чрез прилагане на критериите за оценка на проекта. В този етап оценителите могат да дават становища относно допустимостта на дейностите и разходите, както и коментари и препоръки, ако е приложимо. </w:t>
      </w:r>
    </w:p>
    <w:p w:rsidR="004E57FE" w:rsidRDefault="004E57FE" w:rsidP="004E57FE">
      <w:pPr>
        <w:rPr>
          <w:lang w:eastAsia="ar-SA"/>
        </w:rPr>
      </w:pPr>
      <w:r>
        <w:rPr>
          <w:lang w:eastAsia="ar-SA"/>
        </w:rPr>
        <w:t xml:space="preserve">В резултат от оценката, оценителите могат да предложат отпадане на дейности, когато те са недопустими и/или са свързани с недопустими разходи. Оценителите имат право да предложат намаляване на бюджета, когато разходите са недопустими или не отговарят на пазарната им стойност, като се съблюдава изискването за процентно съотношение между отделните видове разходи </w:t>
      </w:r>
      <w:r w:rsidRPr="00B13716">
        <w:rPr>
          <w:lang w:eastAsia="ar-SA"/>
        </w:rPr>
        <w:t>(ако е въведено такова изискване).</w:t>
      </w:r>
      <w:r>
        <w:rPr>
          <w:lang w:eastAsia="ar-SA"/>
        </w:rPr>
        <w:t xml:space="preserve"> </w:t>
      </w:r>
    </w:p>
    <w:p w:rsidR="004E57FE" w:rsidRDefault="004E57FE" w:rsidP="004E57FE">
      <w:pPr>
        <w:rPr>
          <w:lang w:eastAsia="ar-SA"/>
        </w:rPr>
      </w:pPr>
      <w:r>
        <w:rPr>
          <w:lang w:eastAsia="ar-SA"/>
        </w:rPr>
        <w:t xml:space="preserve">За резултатите от оценката, оценителната комисия изготвя доклад, в който се посочват бенефициентът, одобреният размер на </w:t>
      </w:r>
      <w:proofErr w:type="spellStart"/>
      <w:r>
        <w:rPr>
          <w:lang w:eastAsia="ar-SA"/>
        </w:rPr>
        <w:t>БФП</w:t>
      </w:r>
      <w:proofErr w:type="spellEnd"/>
      <w:r>
        <w:rPr>
          <w:lang w:eastAsia="ar-SA"/>
        </w:rPr>
        <w:t>, както и основанията за взетото решение за отпускане на помощта и направените промени във връзка с отпускането й. Докладът се изготвя от секретаря на комисията въз основа на попълнените от оценителите контролни листи и се подписва от председателя и членовете на оценителната комисия.</w:t>
      </w:r>
    </w:p>
    <w:p w:rsidR="004E57FE" w:rsidRDefault="004E57FE" w:rsidP="004E57FE">
      <w:pPr>
        <w:rPr>
          <w:lang w:eastAsia="ar-SA"/>
        </w:rPr>
      </w:pPr>
      <w:r>
        <w:rPr>
          <w:lang w:eastAsia="ar-SA"/>
        </w:rPr>
        <w:t xml:space="preserve">Докладът на оценителната комисия се предоставя на Ръководителя на ПО за одобрение. </w:t>
      </w:r>
    </w:p>
    <w:p w:rsidR="004E57FE" w:rsidRDefault="004E57FE" w:rsidP="004E57FE">
      <w:pPr>
        <w:rPr>
          <w:lang w:eastAsia="ar-SA"/>
        </w:rPr>
      </w:pPr>
      <w:r>
        <w:rPr>
          <w:lang w:eastAsia="ar-SA"/>
        </w:rPr>
        <w:t xml:space="preserve">На основание доклада на оценителната комисия, Ръководителят на ПО издава решение за финансиране на </w:t>
      </w:r>
      <w:r w:rsidR="008C348B">
        <w:rPr>
          <w:lang w:eastAsia="ar-SA"/>
        </w:rPr>
        <w:t>Проекта</w:t>
      </w:r>
      <w:r>
        <w:rPr>
          <w:lang w:eastAsia="ar-SA"/>
        </w:rPr>
        <w:t xml:space="preserve">, което съдържа информация за общия размер на допустимите разходи - общия грант и съфинансиране, ако е приложимо, препоръки на оценяващите експерти за оптимизиране на качеството на проекта, които да бъдат включени в договора за изпълнение или да бъдат взети предвид при изпълнението на проекта. </w:t>
      </w:r>
    </w:p>
    <w:p w:rsidR="004E57FE" w:rsidRDefault="004E57FE" w:rsidP="004E57FE">
      <w:pPr>
        <w:rPr>
          <w:lang w:eastAsia="ar-SA"/>
        </w:rPr>
      </w:pPr>
      <w:r>
        <w:rPr>
          <w:lang w:eastAsia="ar-SA"/>
        </w:rPr>
        <w:t>ПО уведомява писмено кандидата за решението за одобрение чрез модул „Комуникации“ в ИСУН 2020, след което се прилага процедурата, описана в раздели „Процедура преди сключване на договор“ и „Договор за безвъзмездна финансова помощ“.</w:t>
      </w:r>
    </w:p>
    <w:p w:rsidR="004E57FE" w:rsidRDefault="004E57FE" w:rsidP="004E57FE">
      <w:pPr>
        <w:rPr>
          <w:lang w:eastAsia="ar-SA"/>
        </w:rPr>
      </w:pPr>
      <w:r>
        <w:rPr>
          <w:lang w:eastAsia="ar-SA"/>
        </w:rPr>
        <w:t>В срок до 5 дни от издаване на решението за одобрение на проектното предложение, ръководителят на ПО уведомява НКЗ за извършената оценка и взетото решение, като прилага описание на дейностите, бюджета на проекта, включително ролята и приноса на партньора по проекта.</w:t>
      </w:r>
    </w:p>
    <w:p w:rsidR="004E57FE" w:rsidRPr="004E57FE" w:rsidRDefault="004E57FE" w:rsidP="004E57FE">
      <w:pPr>
        <w:rPr>
          <w:lang w:eastAsia="ar-SA"/>
        </w:rPr>
      </w:pPr>
      <w:r>
        <w:rPr>
          <w:lang w:eastAsia="ar-SA"/>
        </w:rPr>
        <w:t xml:space="preserve">Националното Координационно звено уведомява КФМ за положителната оценка на </w:t>
      </w:r>
      <w:r w:rsidR="008C348B">
        <w:rPr>
          <w:lang w:eastAsia="ar-SA"/>
        </w:rPr>
        <w:t>Проекта</w:t>
      </w:r>
      <w:r>
        <w:rPr>
          <w:lang w:eastAsia="ar-SA"/>
        </w:rPr>
        <w:t xml:space="preserve"> в срок до 7 дни от датата на получаване на известие в НКЗ от ПО за приключилата оценка.</w:t>
      </w:r>
    </w:p>
    <w:p w:rsidR="00785BF6" w:rsidRPr="007F5255" w:rsidRDefault="008C348B" w:rsidP="00A15DF7">
      <w:pPr>
        <w:pStyle w:val="Heading1"/>
        <w:rPr>
          <w:lang w:val="bg-BG"/>
        </w:rPr>
      </w:pPr>
      <w:bookmarkStart w:id="30" w:name="_Toc4745730"/>
      <w:r>
        <w:rPr>
          <w:lang w:val="bg-BG"/>
        </w:rPr>
        <w:lastRenderedPageBreak/>
        <w:t>НАЧИН НА ПОДАВАНЕ НА ПРОЕКТНОТО</w:t>
      </w:r>
      <w:r w:rsidR="00F43BE7" w:rsidRPr="007F5255">
        <w:rPr>
          <w:lang w:val="bg-BG"/>
        </w:rPr>
        <w:t xml:space="preserve"> ПРЕДЛОЖЕНИ</w:t>
      </w:r>
      <w:r>
        <w:rPr>
          <w:lang w:val="bg-BG"/>
        </w:rPr>
        <w:t>Е</w:t>
      </w:r>
      <w:bookmarkEnd w:id="30"/>
    </w:p>
    <w:p w:rsidR="008C348B" w:rsidRDefault="008C348B" w:rsidP="008C348B">
      <w:pPr>
        <w:rPr>
          <w:lang w:eastAsia="ar-SA"/>
        </w:rPr>
      </w:pPr>
      <w:r>
        <w:rPr>
          <w:lang w:eastAsia="ar-SA"/>
        </w:rPr>
        <w:t>Проектните предложения се подават чрез Информационната система ИСУН 2020.</w:t>
      </w:r>
    </w:p>
    <w:p w:rsidR="008C348B" w:rsidRDefault="008C348B" w:rsidP="008C348B">
      <w:pPr>
        <w:rPr>
          <w:lang w:eastAsia="ar-SA"/>
        </w:rPr>
      </w:pPr>
      <w:r>
        <w:rPr>
          <w:lang w:eastAsia="ar-SA"/>
        </w:rPr>
        <w:t>Проектните предложения, подадени по електронен път посредством създаден от кандидатите профил в системата ИСУН 2020 се подават в съответствие с правилата в Наредбата за определяне на условията, реда и механизма за функциониране на информационната система за управление и наблюдение на средствата от европейските структурни и инвестиционни фондове (ИСУН) и за провеждане на производства пред управляващите органи посредством ИСУН.</w:t>
      </w:r>
    </w:p>
    <w:p w:rsidR="008C348B" w:rsidRDefault="008C348B" w:rsidP="008C348B">
      <w:pPr>
        <w:rPr>
          <w:lang w:eastAsia="ar-SA"/>
        </w:rPr>
      </w:pPr>
      <w:r>
        <w:rPr>
          <w:lang w:eastAsia="ar-SA"/>
        </w:rPr>
        <w:t xml:space="preserve">Формулярът за кандидатстване и бюджетът на проекта се попълва в ИСУН 2020 на български и английски език, като информацията на двата езика следва да е идентична. За удостоверяване на идентичността на двата езика, кандидатът представя декларация. При наличие на противоречие между двете версии, с предимство се ползва информацията на английски език. </w:t>
      </w:r>
    </w:p>
    <w:p w:rsidR="008C348B" w:rsidRDefault="00461652" w:rsidP="008C348B">
      <w:pPr>
        <w:rPr>
          <w:lang w:eastAsia="ar-SA"/>
        </w:rPr>
      </w:pPr>
      <w:r>
        <w:rPr>
          <w:lang w:eastAsia="ar-SA"/>
        </w:rPr>
        <w:t>В случай, че п</w:t>
      </w:r>
      <w:r w:rsidR="008C348B">
        <w:rPr>
          <w:lang w:eastAsia="ar-SA"/>
        </w:rPr>
        <w:t>роектно</w:t>
      </w:r>
      <w:r>
        <w:rPr>
          <w:lang w:eastAsia="ar-SA"/>
        </w:rPr>
        <w:t xml:space="preserve">то предложение е </w:t>
      </w:r>
      <w:r w:rsidR="008C348B">
        <w:rPr>
          <w:lang w:eastAsia="ar-SA"/>
        </w:rPr>
        <w:t>получено след крайния срок, ще бъде регистрирано, но няма</w:t>
      </w:r>
      <w:r>
        <w:rPr>
          <w:lang w:eastAsia="ar-SA"/>
        </w:rPr>
        <w:t xml:space="preserve"> да бъде разгледано и оценявано, като ръководителят на Проекта ще бъде уведомен за това чрез комуникационния модул в ИСУН 2020.</w:t>
      </w: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920"/>
      </w:tblGrid>
      <w:tr w:rsidR="0035623C" w:rsidRPr="007F5255" w:rsidTr="0035623C">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rsidR="0035623C" w:rsidRPr="00461652" w:rsidRDefault="0035623C" w:rsidP="00A15DF7">
            <w:pPr>
              <w:rPr>
                <w:b/>
                <w:szCs w:val="18"/>
              </w:rPr>
            </w:pPr>
            <w:r w:rsidRPr="00461652">
              <w:rPr>
                <w:b/>
                <w:szCs w:val="18"/>
              </w:rPr>
              <w:t>ВАЖНО!</w:t>
            </w:r>
          </w:p>
          <w:p w:rsidR="0035623C" w:rsidRPr="00461652" w:rsidRDefault="00BA4A7B" w:rsidP="00A15DF7">
            <w:pPr>
              <w:rPr>
                <w:b/>
                <w:szCs w:val="18"/>
              </w:rPr>
            </w:pPr>
            <w:r w:rsidRPr="00461652">
              <w:rPr>
                <w:b/>
                <w:szCs w:val="18"/>
              </w:rPr>
              <w:t>Проектното предложение се подава електронно чрез ИСУН 2020 като се подписва с КЕП от лице с п</w:t>
            </w:r>
            <w:r w:rsidR="00840246" w:rsidRPr="00461652">
              <w:rPr>
                <w:b/>
                <w:szCs w:val="18"/>
              </w:rPr>
              <w:t>раво да представлява кандидата</w:t>
            </w:r>
            <w:r w:rsidRPr="00461652">
              <w:rPr>
                <w:b/>
                <w:szCs w:val="18"/>
              </w:rPr>
              <w:t xml:space="preserve"> или упълномощено от него лице. В случаите, когато кандидатът се представлява заедно от няколко физически лица,</w:t>
            </w:r>
            <w:r w:rsidR="00840246" w:rsidRPr="00461652">
              <w:t xml:space="preserve"> </w:t>
            </w:r>
            <w:r w:rsidR="00840246" w:rsidRPr="00461652">
              <w:rPr>
                <w:b/>
                <w:szCs w:val="18"/>
              </w:rPr>
              <w:t>проектното предложение се подписва от всяко от тях при подаването. 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от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че не могат да се подписват от упълномощени лица, тъй като с тях се декларират данни, за които се носи наказателна отговорност в лично качество.</w:t>
            </w:r>
          </w:p>
          <w:p w:rsidR="00840246" w:rsidRPr="00461652" w:rsidRDefault="002A38A9" w:rsidP="00840246">
            <w:pPr>
              <w:rPr>
                <w:b/>
                <w:szCs w:val="18"/>
              </w:rPr>
            </w:pPr>
            <w:r w:rsidRPr="00461652">
              <w:rPr>
                <w:b/>
                <w:szCs w:val="18"/>
              </w:rPr>
              <w:t xml:space="preserve">Проектно </w:t>
            </w:r>
            <w:r w:rsidR="00840246" w:rsidRPr="00461652">
              <w:rPr>
                <w:b/>
                <w:szCs w:val="18"/>
              </w:rPr>
              <w:t xml:space="preserve">предложение се подава винаги от профила на кандидата, не от друг профил, тъй като впоследствие ще бъде използван именно този профил за комуникация с </w:t>
            </w:r>
            <w:r w:rsidRPr="00461652">
              <w:rPr>
                <w:b/>
                <w:szCs w:val="18"/>
              </w:rPr>
              <w:t>ПО</w:t>
            </w:r>
            <w:r w:rsidR="00840246" w:rsidRPr="00461652">
              <w:rPr>
                <w:b/>
                <w:szCs w:val="18"/>
              </w:rPr>
              <w:t xml:space="preserve">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са недопустими.</w:t>
            </w:r>
          </w:p>
          <w:p w:rsidR="00840246" w:rsidRPr="00461652" w:rsidRDefault="00840246" w:rsidP="00840246">
            <w:pPr>
              <w:rPr>
                <w:b/>
                <w:szCs w:val="18"/>
              </w:rPr>
            </w:pPr>
            <w:r w:rsidRPr="00461652">
              <w:rPr>
                <w:b/>
                <w:szCs w:val="18"/>
              </w:rPr>
              <w:t xml:space="preserve">До приключването на работата на оценителната комисия кандидатът има възможност да оттегли своето проектно предложение като подаде писмено искане в </w:t>
            </w:r>
            <w:r w:rsidR="002A38A9" w:rsidRPr="00461652">
              <w:rPr>
                <w:b/>
                <w:szCs w:val="18"/>
              </w:rPr>
              <w:t>П</w:t>
            </w:r>
            <w:r w:rsidRPr="00461652">
              <w:rPr>
                <w:b/>
                <w:szCs w:val="18"/>
              </w:rPr>
              <w:t xml:space="preserve">О, като това обстоятелство се отбелязва от потребител на ИСУН от </w:t>
            </w:r>
            <w:r w:rsidR="00451A39" w:rsidRPr="00461652">
              <w:rPr>
                <w:b/>
                <w:szCs w:val="18"/>
              </w:rPr>
              <w:t>П</w:t>
            </w:r>
            <w:r w:rsidRPr="00461652">
              <w:rPr>
                <w:b/>
                <w:szCs w:val="18"/>
              </w:rPr>
              <w:t>О със съответните права.</w:t>
            </w:r>
          </w:p>
          <w:p w:rsidR="002A38A9" w:rsidRPr="00461652" w:rsidRDefault="002A38A9" w:rsidP="00840246">
            <w:pPr>
              <w:rPr>
                <w:b/>
                <w:szCs w:val="18"/>
              </w:rPr>
            </w:pPr>
            <w:r w:rsidRPr="00461652">
              <w:rPr>
                <w:b/>
                <w:szCs w:val="18"/>
              </w:rPr>
              <w:t>Моля, обърнете внимание, че само Формулярът за кандидатстване и изискуемите на етап кандидатстване документи ще бъдат оценявани. Затова, изключително важно е тези документи да съдържат цялата необходима информация.</w:t>
            </w:r>
          </w:p>
          <w:p w:rsidR="00F7718F" w:rsidRPr="007F5255" w:rsidRDefault="00C971CB" w:rsidP="005E0F4E">
            <w:pPr>
              <w:rPr>
                <w:b/>
                <w:szCs w:val="18"/>
              </w:rPr>
            </w:pPr>
            <w:r w:rsidRPr="00461652">
              <w:rPr>
                <w:b/>
                <w:szCs w:val="18"/>
              </w:rPr>
              <w:lastRenderedPageBreak/>
              <w:t>При съставянето на бюджета</w:t>
            </w:r>
            <w:r w:rsidR="00F7718F" w:rsidRPr="00461652">
              <w:rPr>
                <w:b/>
                <w:szCs w:val="18"/>
              </w:rPr>
              <w:t xml:space="preserve"> следва да се има предвид, че той ще бъде разходван като се спазват правилата на Закона за обществените поръчки и </w:t>
            </w:r>
            <w:r w:rsidR="00EB357E">
              <w:rPr>
                <w:b/>
                <w:szCs w:val="18"/>
              </w:rPr>
              <w:t>Правилника за прилагане на Закона за обществените поръчки</w:t>
            </w:r>
            <w:r w:rsidR="00F7718F" w:rsidRPr="00461652">
              <w:rPr>
                <w:b/>
                <w:szCs w:val="18"/>
              </w:rPr>
              <w:t>.</w:t>
            </w:r>
            <w:r w:rsidR="005E0F4E">
              <w:rPr>
                <w:b/>
                <w:szCs w:val="18"/>
              </w:rPr>
              <w:t xml:space="preserve"> </w:t>
            </w:r>
            <w:r w:rsidR="00FB5185" w:rsidRPr="00461652">
              <w:rPr>
                <w:b/>
                <w:szCs w:val="18"/>
              </w:rPr>
              <w:t>Кандидатът носи цялата отговорност за верността на финансовата информация, представена в бюджета.</w:t>
            </w:r>
          </w:p>
        </w:tc>
      </w:tr>
    </w:tbl>
    <w:p w:rsidR="002611F8" w:rsidRPr="007F5255" w:rsidRDefault="00F43BE7" w:rsidP="00A15DF7">
      <w:pPr>
        <w:pStyle w:val="Heading1"/>
        <w:rPr>
          <w:lang w:val="bg-BG"/>
        </w:rPr>
      </w:pPr>
      <w:bookmarkStart w:id="31" w:name="_Toc4745731"/>
      <w:r w:rsidRPr="007F5255">
        <w:rPr>
          <w:lang w:val="bg-BG"/>
        </w:rPr>
        <w:lastRenderedPageBreak/>
        <w:t>СПИСЪК НА ДОКУМЕНТИТЕ, КОИТО СЕ ПОДАВАТ НА ЕТАП КАНДИДАТСТВАНЕ:</w:t>
      </w:r>
      <w:bookmarkEnd w:id="31"/>
    </w:p>
    <w:p w:rsidR="005E1907" w:rsidRPr="007F5255" w:rsidRDefault="005E1907" w:rsidP="005E1907">
      <w:pPr>
        <w:rPr>
          <w:lang w:eastAsia="ar-SA"/>
        </w:rPr>
      </w:pPr>
      <w:r w:rsidRPr="007F5255">
        <w:rPr>
          <w:lang w:eastAsia="ar-SA"/>
        </w:rPr>
        <w:t>Кандидат</w:t>
      </w:r>
      <w:r w:rsidR="005E0F4E">
        <w:rPr>
          <w:lang w:eastAsia="ar-SA"/>
        </w:rPr>
        <w:t>ът</w:t>
      </w:r>
      <w:r w:rsidRPr="007F5255">
        <w:rPr>
          <w:lang w:eastAsia="ar-SA"/>
        </w:rPr>
        <w:t xml:space="preserve"> по процедурата за безвъзмездна финансова помощ следва да представ</w:t>
      </w:r>
      <w:r w:rsidR="005E0F4E">
        <w:rPr>
          <w:lang w:eastAsia="ar-SA"/>
        </w:rPr>
        <w:t>и</w:t>
      </w:r>
      <w:r w:rsidRPr="007F5255">
        <w:rPr>
          <w:lang w:eastAsia="ar-SA"/>
        </w:rPr>
        <w:t xml:space="preserve"> към Формуляра за кандидатстване изцяло </w:t>
      </w:r>
      <w:r w:rsidR="004A6699">
        <w:rPr>
          <w:lang w:eastAsia="ar-SA"/>
        </w:rPr>
        <w:t xml:space="preserve">по </w:t>
      </w:r>
      <w:r w:rsidRPr="007F5255">
        <w:rPr>
          <w:lang w:eastAsia="ar-SA"/>
        </w:rPr>
        <w:t>електронен път чрез ИСУН 2020 следните документи:</w:t>
      </w:r>
    </w:p>
    <w:p w:rsidR="005E1907" w:rsidRPr="007F5255" w:rsidRDefault="005E1907" w:rsidP="005E1907">
      <w:pPr>
        <w:numPr>
          <w:ilvl w:val="0"/>
          <w:numId w:val="33"/>
        </w:numPr>
        <w:spacing w:before="0" w:after="160" w:line="259" w:lineRule="auto"/>
        <w:jc w:val="left"/>
        <w:rPr>
          <w:rFonts w:ascii="Calibri" w:eastAsia="Calibri" w:hAnsi="Calibri"/>
          <w:sz w:val="22"/>
          <w:lang w:eastAsia="en-US"/>
        </w:rPr>
      </w:pPr>
      <w:r w:rsidRPr="007F5255">
        <w:rPr>
          <w:rFonts w:ascii="Calibri" w:eastAsia="Calibri" w:hAnsi="Calibri"/>
          <w:sz w:val="22"/>
          <w:lang w:eastAsia="en-US"/>
        </w:rPr>
        <w:t xml:space="preserve">Декларация, че кандидатът е запознат с условията за кандидатстване – попълнена по образец (Приложение </w:t>
      </w:r>
      <w:r w:rsidR="003E71D8">
        <w:rPr>
          <w:rFonts w:ascii="Calibri" w:eastAsia="Calibri" w:hAnsi="Calibri"/>
          <w:sz w:val="22"/>
          <w:lang w:eastAsia="en-US"/>
        </w:rPr>
        <w:t>1</w:t>
      </w:r>
      <w:r w:rsidRPr="007F5255">
        <w:rPr>
          <w:rFonts w:ascii="Calibri" w:eastAsia="Calibri" w:hAnsi="Calibri"/>
          <w:sz w:val="22"/>
          <w:lang w:eastAsia="en-US"/>
        </w:rPr>
        <w:t>) – подписана с КЕП и прикачена в ИСУН 2020;</w:t>
      </w:r>
    </w:p>
    <w:p w:rsidR="005E1907" w:rsidRPr="007F5255" w:rsidRDefault="005E1907" w:rsidP="005E1907">
      <w:pPr>
        <w:numPr>
          <w:ilvl w:val="0"/>
          <w:numId w:val="33"/>
        </w:numPr>
        <w:spacing w:before="0" w:after="160" w:line="259" w:lineRule="auto"/>
        <w:jc w:val="left"/>
        <w:rPr>
          <w:rFonts w:ascii="Calibri" w:eastAsia="Calibri" w:hAnsi="Calibri"/>
          <w:sz w:val="22"/>
          <w:lang w:eastAsia="en-US"/>
        </w:rPr>
      </w:pPr>
      <w:r w:rsidRPr="007F5255">
        <w:rPr>
          <w:rFonts w:ascii="Calibri" w:eastAsia="Calibri" w:hAnsi="Calibri"/>
          <w:sz w:val="22"/>
          <w:lang w:eastAsia="en-US"/>
        </w:rPr>
        <w:t xml:space="preserve">Декларация относно </w:t>
      </w:r>
      <w:r w:rsidRPr="007217EE">
        <w:rPr>
          <w:rFonts w:ascii="Calibri" w:eastAsia="Calibri" w:hAnsi="Calibri"/>
          <w:sz w:val="22"/>
          <w:lang w:eastAsia="en-US"/>
        </w:rPr>
        <w:t>статута по ЗДДС</w:t>
      </w:r>
      <w:r w:rsidRPr="007F5255">
        <w:rPr>
          <w:rFonts w:ascii="Calibri" w:eastAsia="Calibri" w:hAnsi="Calibri"/>
          <w:sz w:val="22"/>
          <w:lang w:eastAsia="en-US"/>
        </w:rPr>
        <w:t xml:space="preserve"> - попълнена по образец (Приложение </w:t>
      </w:r>
      <w:r w:rsidR="00185C34">
        <w:rPr>
          <w:rFonts w:ascii="Calibri" w:eastAsia="Calibri" w:hAnsi="Calibri"/>
          <w:sz w:val="22"/>
          <w:lang w:eastAsia="en-US"/>
        </w:rPr>
        <w:t>2</w:t>
      </w:r>
      <w:r w:rsidRPr="007F5255">
        <w:rPr>
          <w:rFonts w:ascii="Calibri" w:eastAsia="Calibri" w:hAnsi="Calibri"/>
          <w:sz w:val="22"/>
          <w:lang w:eastAsia="en-US"/>
        </w:rPr>
        <w:t>) - подписана и датирана от законния представител на кандидата, съгласно документа за създаване/акта за учредяване, сканирана и прикачена в ИСУН 2020;</w:t>
      </w:r>
    </w:p>
    <w:p w:rsidR="005E1907" w:rsidRPr="007F5255" w:rsidRDefault="005E1907" w:rsidP="005E1907">
      <w:pPr>
        <w:numPr>
          <w:ilvl w:val="0"/>
          <w:numId w:val="33"/>
        </w:numPr>
        <w:spacing w:before="0" w:after="160" w:line="259" w:lineRule="auto"/>
        <w:jc w:val="left"/>
        <w:rPr>
          <w:rFonts w:ascii="Calibri" w:eastAsia="Calibri" w:hAnsi="Calibri"/>
          <w:sz w:val="22"/>
          <w:lang w:eastAsia="en-US"/>
        </w:rPr>
      </w:pPr>
      <w:r w:rsidRPr="007F5255">
        <w:rPr>
          <w:rFonts w:ascii="Calibri" w:eastAsia="Calibri" w:hAnsi="Calibri"/>
          <w:sz w:val="22"/>
          <w:lang w:eastAsia="en-US"/>
        </w:rPr>
        <w:t>Документ за оправомощаване за подаване на проектното предложение с КЕП (в случай, че е приложимо) - подписан, датиран, сканиран и прикачен в ИСУН 2020;</w:t>
      </w:r>
    </w:p>
    <w:p w:rsidR="005E1907" w:rsidRPr="007F5255" w:rsidRDefault="005E1907" w:rsidP="005E1907">
      <w:pPr>
        <w:numPr>
          <w:ilvl w:val="0"/>
          <w:numId w:val="33"/>
        </w:numPr>
        <w:spacing w:before="0" w:after="160" w:line="259" w:lineRule="auto"/>
        <w:jc w:val="left"/>
        <w:rPr>
          <w:rFonts w:ascii="Calibri" w:eastAsia="Calibri" w:hAnsi="Calibri"/>
          <w:sz w:val="22"/>
          <w:lang w:eastAsia="en-US"/>
        </w:rPr>
      </w:pPr>
      <w:r w:rsidRPr="007F5255">
        <w:rPr>
          <w:rFonts w:ascii="Calibri" w:eastAsia="Calibri" w:hAnsi="Calibri"/>
          <w:sz w:val="22"/>
          <w:lang w:eastAsia="en-US"/>
        </w:rPr>
        <w:t xml:space="preserve">Споразумение за партньорство (Приложение </w:t>
      </w:r>
      <w:r w:rsidR="00185C34">
        <w:rPr>
          <w:rFonts w:ascii="Calibri" w:eastAsia="Calibri" w:hAnsi="Calibri"/>
          <w:sz w:val="22"/>
          <w:lang w:eastAsia="en-US"/>
        </w:rPr>
        <w:t>3</w:t>
      </w:r>
      <w:r w:rsidRPr="007F5255">
        <w:rPr>
          <w:rFonts w:ascii="Calibri" w:eastAsia="Calibri" w:hAnsi="Calibri"/>
          <w:sz w:val="22"/>
          <w:lang w:eastAsia="en-US"/>
        </w:rPr>
        <w:t>);</w:t>
      </w:r>
    </w:p>
    <w:p w:rsidR="005E1907" w:rsidRPr="007F5255" w:rsidRDefault="005E1907" w:rsidP="005E1907">
      <w:pPr>
        <w:numPr>
          <w:ilvl w:val="0"/>
          <w:numId w:val="33"/>
        </w:numPr>
        <w:spacing w:before="0" w:after="160" w:line="259" w:lineRule="auto"/>
        <w:jc w:val="left"/>
        <w:rPr>
          <w:rFonts w:ascii="Calibri" w:eastAsia="Calibri" w:hAnsi="Calibri"/>
          <w:sz w:val="22"/>
          <w:lang w:eastAsia="en-US"/>
        </w:rPr>
      </w:pPr>
      <w:r w:rsidRPr="007F5255">
        <w:rPr>
          <w:rFonts w:ascii="Calibri" w:eastAsia="Calibri" w:hAnsi="Calibri"/>
          <w:sz w:val="22"/>
          <w:lang w:eastAsia="en-US"/>
        </w:rPr>
        <w:t>План за външно възлагане;</w:t>
      </w:r>
    </w:p>
    <w:p w:rsidR="005E1907" w:rsidRPr="007F5255" w:rsidRDefault="005E1907" w:rsidP="005E1907">
      <w:pPr>
        <w:numPr>
          <w:ilvl w:val="0"/>
          <w:numId w:val="33"/>
        </w:numPr>
        <w:spacing w:before="0" w:after="160" w:line="259" w:lineRule="auto"/>
        <w:jc w:val="left"/>
        <w:rPr>
          <w:rFonts w:ascii="Calibri" w:eastAsia="Calibri" w:hAnsi="Calibri"/>
          <w:sz w:val="22"/>
          <w:lang w:eastAsia="en-US"/>
        </w:rPr>
      </w:pPr>
      <w:r w:rsidRPr="007F5255">
        <w:rPr>
          <w:rFonts w:ascii="Calibri" w:eastAsia="Calibri" w:hAnsi="Calibri"/>
          <w:sz w:val="22"/>
          <w:lang w:eastAsia="en-US"/>
        </w:rPr>
        <w:t>План за публичност, отговарящ на изискванията на Регламента;</w:t>
      </w:r>
    </w:p>
    <w:p w:rsidR="005E1907" w:rsidRDefault="005E1907" w:rsidP="005E1907">
      <w:pPr>
        <w:numPr>
          <w:ilvl w:val="0"/>
          <w:numId w:val="33"/>
        </w:numPr>
        <w:spacing w:before="0" w:after="160" w:line="259" w:lineRule="auto"/>
        <w:jc w:val="left"/>
        <w:rPr>
          <w:rFonts w:ascii="Calibri" w:eastAsia="Calibri" w:hAnsi="Calibri"/>
          <w:sz w:val="22"/>
          <w:lang w:eastAsia="en-US"/>
        </w:rPr>
      </w:pPr>
      <w:r w:rsidRPr="007F5255">
        <w:rPr>
          <w:rFonts w:ascii="Calibri" w:eastAsia="Calibri" w:hAnsi="Calibri"/>
          <w:sz w:val="22"/>
          <w:lang w:eastAsia="en-US"/>
        </w:rPr>
        <w:t>Автобиографии на членовете на екипа за управлен</w:t>
      </w:r>
      <w:r w:rsidR="005D1DC8">
        <w:rPr>
          <w:rFonts w:ascii="Calibri" w:eastAsia="Calibri" w:hAnsi="Calibri"/>
          <w:sz w:val="22"/>
          <w:lang w:eastAsia="en-US"/>
        </w:rPr>
        <w:t>ие на проекта</w:t>
      </w:r>
      <w:r w:rsidR="00047FD3">
        <w:rPr>
          <w:rFonts w:ascii="Calibri" w:eastAsia="Calibri" w:hAnsi="Calibri"/>
          <w:sz w:val="22"/>
          <w:lang w:eastAsia="en-US"/>
        </w:rPr>
        <w:t>;</w:t>
      </w:r>
    </w:p>
    <w:p w:rsidR="00047FD3" w:rsidRDefault="00047FD3" w:rsidP="006E7AE0">
      <w:pPr>
        <w:numPr>
          <w:ilvl w:val="0"/>
          <w:numId w:val="33"/>
        </w:numPr>
        <w:spacing w:before="0" w:after="160" w:line="259" w:lineRule="auto"/>
        <w:jc w:val="left"/>
        <w:rPr>
          <w:rFonts w:ascii="Calibri" w:eastAsia="Calibri" w:hAnsi="Calibri"/>
          <w:sz w:val="22"/>
          <w:lang w:eastAsia="en-US"/>
        </w:rPr>
      </w:pPr>
      <w:r w:rsidRPr="00047FD3">
        <w:rPr>
          <w:rFonts w:ascii="Calibri" w:eastAsia="Calibri" w:hAnsi="Calibri"/>
          <w:sz w:val="22"/>
          <w:lang w:eastAsia="en-US"/>
        </w:rPr>
        <w:t>Декларация за удостоверяване на идентичността на двата езика</w:t>
      </w:r>
      <w:r w:rsidR="000E5D20">
        <w:rPr>
          <w:rFonts w:ascii="Calibri" w:eastAsia="Calibri" w:hAnsi="Calibri"/>
          <w:sz w:val="22"/>
          <w:lang w:eastAsia="en-US"/>
        </w:rPr>
        <w:t>,</w:t>
      </w:r>
      <w:r w:rsidRPr="00047FD3">
        <w:t xml:space="preserve"> </w:t>
      </w:r>
      <w:r w:rsidRPr="00047FD3">
        <w:rPr>
          <w:rFonts w:ascii="Calibri" w:eastAsia="Calibri" w:hAnsi="Calibri"/>
          <w:sz w:val="22"/>
          <w:lang w:eastAsia="en-US"/>
        </w:rPr>
        <w:t>подписана с КЕП и прикачена в ИСУН 2020</w:t>
      </w:r>
      <w:r w:rsidR="006E7AE0">
        <w:rPr>
          <w:rFonts w:ascii="Calibri" w:eastAsia="Calibri" w:hAnsi="Calibri"/>
          <w:sz w:val="22"/>
          <w:lang w:eastAsia="en-US"/>
        </w:rPr>
        <w:t xml:space="preserve"> (Приложение </w:t>
      </w:r>
      <w:r w:rsidR="00185C34">
        <w:rPr>
          <w:rFonts w:ascii="Calibri" w:eastAsia="Calibri" w:hAnsi="Calibri"/>
          <w:sz w:val="22"/>
          <w:lang w:eastAsia="en-US"/>
        </w:rPr>
        <w:t>4</w:t>
      </w:r>
      <w:r w:rsidR="006E7AE0" w:rsidRPr="006E7AE0">
        <w:rPr>
          <w:rFonts w:ascii="Calibri" w:eastAsia="Calibri" w:hAnsi="Calibri"/>
          <w:sz w:val="22"/>
          <w:lang w:eastAsia="en-US"/>
        </w:rPr>
        <w:t>)</w:t>
      </w:r>
      <w:r w:rsidR="004737BD">
        <w:rPr>
          <w:rFonts w:ascii="Calibri" w:eastAsia="Calibri" w:hAnsi="Calibri"/>
          <w:sz w:val="22"/>
          <w:lang w:eastAsia="en-US"/>
        </w:rPr>
        <w:t>;</w:t>
      </w:r>
    </w:p>
    <w:p w:rsidR="00376D64" w:rsidRDefault="00376D64" w:rsidP="00AA3F89">
      <w:pPr>
        <w:numPr>
          <w:ilvl w:val="0"/>
          <w:numId w:val="33"/>
        </w:numPr>
        <w:rPr>
          <w:rFonts w:ascii="Calibri" w:eastAsia="Calibri" w:hAnsi="Calibri"/>
          <w:sz w:val="22"/>
          <w:lang w:eastAsia="en-US"/>
        </w:rPr>
      </w:pPr>
      <w:r w:rsidRPr="00376D64">
        <w:rPr>
          <w:rFonts w:ascii="Calibri" w:eastAsia="Calibri" w:hAnsi="Calibri"/>
          <w:sz w:val="22"/>
          <w:lang w:eastAsia="en-US"/>
        </w:rPr>
        <w:t>Декларация за участие на консултанти при подготовката на проектното предложение - подписана с КЕП и прикачена в ИСУН 2020</w:t>
      </w:r>
      <w:r w:rsidR="00AA3F89">
        <w:rPr>
          <w:rFonts w:ascii="Calibri" w:eastAsia="Calibri" w:hAnsi="Calibri"/>
          <w:sz w:val="22"/>
          <w:lang w:eastAsia="en-US"/>
        </w:rPr>
        <w:t xml:space="preserve"> </w:t>
      </w:r>
      <w:r w:rsidR="00AA3F89" w:rsidRPr="00AA3F89">
        <w:rPr>
          <w:rFonts w:ascii="Calibri" w:eastAsia="Calibri" w:hAnsi="Calibri"/>
          <w:sz w:val="22"/>
          <w:lang w:eastAsia="en-US"/>
        </w:rPr>
        <w:t xml:space="preserve">(Приложение </w:t>
      </w:r>
      <w:r w:rsidR="00185C34">
        <w:rPr>
          <w:rFonts w:ascii="Calibri" w:eastAsia="Calibri" w:hAnsi="Calibri"/>
          <w:sz w:val="22"/>
          <w:lang w:eastAsia="en-US"/>
        </w:rPr>
        <w:t>5</w:t>
      </w:r>
      <w:r w:rsidR="00AA3F89" w:rsidRPr="00AA3F89">
        <w:rPr>
          <w:rFonts w:ascii="Calibri" w:eastAsia="Calibri" w:hAnsi="Calibri"/>
          <w:sz w:val="22"/>
          <w:lang w:eastAsia="en-US"/>
        </w:rPr>
        <w:t>)</w:t>
      </w:r>
      <w:r w:rsidR="00260F43">
        <w:rPr>
          <w:rFonts w:ascii="Calibri" w:eastAsia="Calibri" w:hAnsi="Calibri"/>
          <w:sz w:val="22"/>
          <w:lang w:eastAsia="en-US"/>
        </w:rPr>
        <w:t>;</w:t>
      </w:r>
    </w:p>
    <w:p w:rsidR="00260F43" w:rsidRPr="00AB7DDE" w:rsidRDefault="00AB7DDE" w:rsidP="00EB3170">
      <w:pPr>
        <w:numPr>
          <w:ilvl w:val="0"/>
          <w:numId w:val="33"/>
        </w:numPr>
        <w:rPr>
          <w:rFonts w:ascii="Calibri" w:eastAsia="Calibri" w:hAnsi="Calibri"/>
          <w:sz w:val="22"/>
          <w:lang w:eastAsia="en-US"/>
        </w:rPr>
      </w:pPr>
      <w:r>
        <w:rPr>
          <w:rFonts w:ascii="Calibri" w:eastAsia="Calibri" w:hAnsi="Calibri"/>
          <w:sz w:val="22"/>
          <w:lang w:eastAsia="en-US"/>
        </w:rPr>
        <w:t>Бюджет</w:t>
      </w:r>
      <w:r w:rsidR="00EB3170" w:rsidRPr="00EB3170">
        <w:rPr>
          <w:rFonts w:ascii="Calibri" w:eastAsia="Calibri" w:hAnsi="Calibri"/>
          <w:sz w:val="22"/>
          <w:lang w:eastAsia="en-US"/>
        </w:rPr>
        <w:t xml:space="preserve"> на проектното предложение</w:t>
      </w:r>
      <w:r w:rsidR="00EB3170">
        <w:rPr>
          <w:rFonts w:ascii="Calibri" w:eastAsia="Calibri" w:hAnsi="Calibri"/>
          <w:sz w:val="22"/>
          <w:lang w:val="en-US" w:eastAsia="en-US"/>
        </w:rPr>
        <w:t xml:space="preserve"> </w:t>
      </w:r>
      <w:r w:rsidR="00EB3170" w:rsidRPr="00EB3170">
        <w:rPr>
          <w:rFonts w:ascii="Calibri" w:eastAsia="Calibri" w:hAnsi="Calibri"/>
          <w:sz w:val="22"/>
          <w:lang w:eastAsia="en-US"/>
        </w:rPr>
        <w:t xml:space="preserve">(Приложение </w:t>
      </w:r>
      <w:r w:rsidR="00EB3170">
        <w:rPr>
          <w:rFonts w:ascii="Calibri" w:eastAsia="Calibri" w:hAnsi="Calibri"/>
          <w:sz w:val="22"/>
          <w:lang w:val="en-US" w:eastAsia="en-US"/>
        </w:rPr>
        <w:t>6</w:t>
      </w:r>
      <w:r w:rsidR="00EB3170" w:rsidRPr="00EB3170">
        <w:rPr>
          <w:rFonts w:ascii="Calibri" w:eastAsia="Calibri" w:hAnsi="Calibri"/>
          <w:sz w:val="22"/>
          <w:lang w:eastAsia="en-US"/>
        </w:rPr>
        <w:t>)</w:t>
      </w:r>
      <w:r>
        <w:rPr>
          <w:rFonts w:ascii="Calibri" w:eastAsia="Calibri" w:hAnsi="Calibri"/>
          <w:sz w:val="22"/>
          <w:lang w:val="en-US" w:eastAsia="en-US"/>
        </w:rPr>
        <w:t>;</w:t>
      </w:r>
    </w:p>
    <w:p w:rsidR="00AB7DDE" w:rsidRPr="00AB7DDE" w:rsidRDefault="00AB7DDE" w:rsidP="00AB7DDE">
      <w:pPr>
        <w:pStyle w:val="ListParagraph"/>
        <w:numPr>
          <w:ilvl w:val="0"/>
          <w:numId w:val="33"/>
        </w:numPr>
        <w:rPr>
          <w:rFonts w:ascii="Calibri" w:eastAsia="Calibri" w:hAnsi="Calibri"/>
          <w:sz w:val="22"/>
          <w:lang w:eastAsia="en-US"/>
        </w:rPr>
      </w:pPr>
      <w:r w:rsidRPr="00AB7DDE">
        <w:rPr>
          <w:rFonts w:ascii="Calibri" w:eastAsia="Calibri" w:hAnsi="Calibri"/>
          <w:sz w:val="22"/>
          <w:lang w:eastAsia="en-US"/>
        </w:rPr>
        <w:t xml:space="preserve">Декларация за наличие/липса на двойно финансиране (Приложение </w:t>
      </w:r>
      <w:r>
        <w:rPr>
          <w:rFonts w:ascii="Calibri" w:eastAsia="Calibri" w:hAnsi="Calibri"/>
          <w:sz w:val="22"/>
          <w:lang w:eastAsia="en-US"/>
        </w:rPr>
        <w:t>7</w:t>
      </w:r>
      <w:r w:rsidRPr="00AB7DDE">
        <w:rPr>
          <w:rFonts w:ascii="Calibri" w:eastAsia="Calibri" w:hAnsi="Calibri"/>
          <w:sz w:val="22"/>
          <w:lang w:eastAsia="en-US"/>
        </w:rPr>
        <w:t>)  - подписана с КЕП и прикачена в ИСУН 2020</w:t>
      </w:r>
      <w:r>
        <w:rPr>
          <w:rFonts w:ascii="Calibri" w:eastAsia="Calibri" w:hAnsi="Calibri"/>
          <w:sz w:val="22"/>
          <w:lang w:eastAsia="en-US"/>
        </w:rPr>
        <w:t>.</w:t>
      </w:r>
    </w:p>
    <w:p w:rsidR="00AB7DDE" w:rsidRPr="00376D64" w:rsidRDefault="00AB7DDE" w:rsidP="00AB7DDE">
      <w:pPr>
        <w:ind w:left="720"/>
        <w:rPr>
          <w:rFonts w:ascii="Calibri" w:eastAsia="Calibri" w:hAnsi="Calibri"/>
          <w:sz w:val="22"/>
          <w:lang w:eastAsia="en-US"/>
        </w:rPr>
      </w:pPr>
    </w:p>
    <w:p w:rsidR="00705551" w:rsidRPr="007F5255" w:rsidRDefault="00F43BE7" w:rsidP="00F43BE7">
      <w:pPr>
        <w:pStyle w:val="Heading1"/>
        <w:rPr>
          <w:lang w:val="bg-BG"/>
        </w:rPr>
      </w:pPr>
      <w:bookmarkStart w:id="32" w:name="_Toc4745732"/>
      <w:r w:rsidRPr="007F5255">
        <w:rPr>
          <w:lang w:val="bg-BG"/>
        </w:rPr>
        <w:t>КРАЕН СРОК ЗА ПОДАВАНЕ НА ПРОЕКТН</w:t>
      </w:r>
      <w:r w:rsidR="005E0F4E">
        <w:rPr>
          <w:lang w:val="bg-BG"/>
        </w:rPr>
        <w:t>ОТО</w:t>
      </w:r>
      <w:r w:rsidRPr="007F5255">
        <w:rPr>
          <w:lang w:val="bg-BG"/>
        </w:rPr>
        <w:t xml:space="preserve"> ПРЕДЛОЖЕНИ</w:t>
      </w:r>
      <w:r w:rsidR="005E0F4E">
        <w:rPr>
          <w:lang w:val="bg-BG"/>
        </w:rPr>
        <w:t>Е</w:t>
      </w:r>
      <w:r w:rsidRPr="007F5255">
        <w:rPr>
          <w:lang w:val="bg-BG"/>
        </w:rPr>
        <w:t>:</w:t>
      </w:r>
      <w:bookmarkEnd w:id="32"/>
      <w:r w:rsidR="00D65C3A">
        <w:rPr>
          <w:lang w:val="en-US"/>
        </w:rPr>
        <w:t xml:space="preserve"> </w:t>
      </w:r>
      <w:r w:rsidR="00555E1E">
        <w:rPr>
          <w:lang w:val="en-US"/>
        </w:rPr>
        <w:t>06</w:t>
      </w:r>
      <w:r w:rsidR="00D65C3A">
        <w:rPr>
          <w:lang w:val="en-US"/>
        </w:rPr>
        <w:t>.1</w:t>
      </w:r>
      <w:r w:rsidR="00555E1E">
        <w:rPr>
          <w:lang w:val="en-US"/>
        </w:rPr>
        <w:t>2</w:t>
      </w:r>
      <w:r w:rsidR="00D65C3A">
        <w:rPr>
          <w:lang w:val="en-US"/>
        </w:rPr>
        <w:t xml:space="preserve">.2019 </w:t>
      </w:r>
      <w:r w:rsidR="00D65C3A">
        <w:rPr>
          <w:lang w:val="bg-BG"/>
        </w:rPr>
        <w:t>г.</w:t>
      </w:r>
    </w:p>
    <w:p w:rsidR="00705551" w:rsidRPr="009B5854" w:rsidRDefault="00F43BE7" w:rsidP="00F43BE7">
      <w:pPr>
        <w:pStyle w:val="Heading1"/>
        <w:rPr>
          <w:lang w:val="bg-BG"/>
        </w:rPr>
      </w:pPr>
      <w:bookmarkStart w:id="33" w:name="_Toc4745733"/>
      <w:r w:rsidRPr="009B5854">
        <w:rPr>
          <w:lang w:val="bg-BG"/>
        </w:rPr>
        <w:t>АДРЕС ЗА ПОДАВАНЕ НА ПРОЕКТН</w:t>
      </w:r>
      <w:r w:rsidR="005E0F4E" w:rsidRPr="009B5854">
        <w:rPr>
          <w:lang w:val="bg-BG"/>
        </w:rPr>
        <w:t>ОТО</w:t>
      </w:r>
      <w:r w:rsidRPr="009B5854">
        <w:rPr>
          <w:lang w:val="bg-BG"/>
        </w:rPr>
        <w:t xml:space="preserve"> ПРЕДЛОЖЕНИ</w:t>
      </w:r>
      <w:r w:rsidR="005E0F4E" w:rsidRPr="009B5854">
        <w:rPr>
          <w:lang w:val="bg-BG"/>
        </w:rPr>
        <w:t>Е</w:t>
      </w:r>
      <w:bookmarkEnd w:id="33"/>
      <w:r w:rsidR="009B5854" w:rsidRPr="009B5854">
        <w:rPr>
          <w:lang w:val="bg-BG"/>
        </w:rPr>
        <w:t xml:space="preserve"> </w:t>
      </w:r>
    </w:p>
    <w:p w:rsidR="0035623C" w:rsidRPr="007F5255" w:rsidRDefault="00C964DF" w:rsidP="0035623C">
      <w:pPr>
        <w:rPr>
          <w:lang w:eastAsia="ar-SA"/>
        </w:rPr>
      </w:pPr>
      <w:r w:rsidRPr="007F5255">
        <w:rPr>
          <w:lang w:eastAsia="ar-SA"/>
        </w:rPr>
        <w:t>Проектн</w:t>
      </w:r>
      <w:r w:rsidR="005E0F4E">
        <w:rPr>
          <w:lang w:eastAsia="ar-SA"/>
        </w:rPr>
        <w:t>ото</w:t>
      </w:r>
      <w:r w:rsidRPr="007F5255">
        <w:rPr>
          <w:lang w:eastAsia="ar-SA"/>
        </w:rPr>
        <w:t xml:space="preserve"> предложени</w:t>
      </w:r>
      <w:r w:rsidR="005E0F4E">
        <w:rPr>
          <w:lang w:eastAsia="ar-SA"/>
        </w:rPr>
        <w:t>е</w:t>
      </w:r>
      <w:r w:rsidRPr="007F5255">
        <w:rPr>
          <w:lang w:eastAsia="ar-SA"/>
        </w:rPr>
        <w:t xml:space="preserve"> по настоящата процедура се подава изцяло </w:t>
      </w:r>
      <w:r w:rsidR="004A6699">
        <w:rPr>
          <w:lang w:eastAsia="ar-SA"/>
        </w:rPr>
        <w:t xml:space="preserve">по </w:t>
      </w:r>
      <w:r w:rsidRPr="007F5255">
        <w:rPr>
          <w:lang w:eastAsia="ar-SA"/>
        </w:rPr>
        <w:t>електронен път чрез ИСУН 2020 на следния интернет адрес: https://eumis2020.government.bg.</w:t>
      </w:r>
    </w:p>
    <w:p w:rsidR="00204332" w:rsidRDefault="00204332" w:rsidP="00204332">
      <w:pPr>
        <w:spacing w:before="0" w:after="0" w:line="240" w:lineRule="auto"/>
        <w:rPr>
          <w:rFonts w:ascii="Times New Roman" w:hAnsi="Times New Roman"/>
          <w:sz w:val="22"/>
          <w:lang w:eastAsia="en-US"/>
        </w:rPr>
      </w:pPr>
    </w:p>
    <w:p w:rsidR="00204332" w:rsidRDefault="00204332" w:rsidP="00204332">
      <w:pPr>
        <w:spacing w:before="0" w:after="0" w:line="240" w:lineRule="auto"/>
        <w:rPr>
          <w:rFonts w:ascii="Times New Roman" w:hAnsi="Times New Roman"/>
          <w:sz w:val="22"/>
          <w:lang w:eastAsia="en-US"/>
        </w:rPr>
      </w:pPr>
    </w:p>
    <w:sectPr w:rsidR="00204332" w:rsidSect="00176861">
      <w:headerReference w:type="default" r:id="rId8"/>
      <w:footerReference w:type="even" r:id="rId9"/>
      <w:footerReference w:type="default" r:id="rId10"/>
      <w:headerReference w:type="first" r:id="rId11"/>
      <w:pgSz w:w="11906" w:h="16838"/>
      <w:pgMar w:top="1134" w:right="992" w:bottom="1135" w:left="1134" w:header="568"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384E" w:rsidRDefault="00B2384E" w:rsidP="006665F0">
      <w:pPr>
        <w:spacing w:before="0" w:after="0" w:line="240" w:lineRule="auto"/>
      </w:pPr>
      <w:r>
        <w:separator/>
      </w:r>
    </w:p>
  </w:endnote>
  <w:endnote w:type="continuationSeparator" w:id="0">
    <w:p w:rsidR="00B2384E" w:rsidRDefault="00B2384E" w:rsidP="006665F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DB4" w:rsidRDefault="00907DB4" w:rsidP="00B901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07DB4" w:rsidRDefault="00907DB4" w:rsidP="0048578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DB4" w:rsidRDefault="00907DB4" w:rsidP="00B901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D34D4">
      <w:rPr>
        <w:rStyle w:val="PageNumber"/>
        <w:noProof/>
      </w:rPr>
      <w:t>21</w:t>
    </w:r>
    <w:r>
      <w:rPr>
        <w:rStyle w:val="PageNumber"/>
      </w:rPr>
      <w:fldChar w:fldCharType="end"/>
    </w:r>
  </w:p>
  <w:p w:rsidR="00907DB4" w:rsidRDefault="00907DB4" w:rsidP="0048578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384E" w:rsidRDefault="00B2384E" w:rsidP="006665F0">
      <w:pPr>
        <w:spacing w:before="0" w:after="0" w:line="240" w:lineRule="auto"/>
      </w:pPr>
      <w:r>
        <w:separator/>
      </w:r>
    </w:p>
  </w:footnote>
  <w:footnote w:type="continuationSeparator" w:id="0">
    <w:p w:rsidR="00B2384E" w:rsidRDefault="00B2384E" w:rsidP="006665F0">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DB4" w:rsidRDefault="00907DB4">
    <w:pPr>
      <w:pStyle w:val="Header"/>
    </w:pPr>
  </w:p>
  <w:p w:rsidR="00907DB4" w:rsidRDefault="00907DB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DB4" w:rsidRDefault="00907DB4">
    <w:pPr>
      <w:pStyle w:val="Header"/>
    </w:pPr>
    <w:r>
      <w:rPr>
        <w:noProof/>
        <w:lang w:val="bg-BG"/>
      </w:rPr>
      <w:drawing>
        <wp:inline distT="0" distB="0" distL="0" distR="0" wp14:anchorId="398543CC" wp14:editId="4886B95B">
          <wp:extent cx="1535430" cy="1069975"/>
          <wp:effectExtent l="0" t="0" r="7620" b="0"/>
          <wp:docPr id="1" name="Picture 1" descr="EEA_grants@4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EA_grants@4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5430" cy="10699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56B09"/>
    <w:multiLevelType w:val="hybridMultilevel"/>
    <w:tmpl w:val="2D50DA5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7A86514"/>
    <w:multiLevelType w:val="hybridMultilevel"/>
    <w:tmpl w:val="D6762A7C"/>
    <w:lvl w:ilvl="0" w:tplc="89340CC0">
      <w:numFmt w:val="bullet"/>
      <w:lvlText w:val="•"/>
      <w:lvlJc w:val="left"/>
      <w:pPr>
        <w:ind w:left="1065" w:hanging="705"/>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13F71E07"/>
    <w:multiLevelType w:val="hybridMultilevel"/>
    <w:tmpl w:val="2EF49C98"/>
    <w:lvl w:ilvl="0" w:tplc="89340CC0">
      <w:numFmt w:val="bullet"/>
      <w:lvlText w:val="•"/>
      <w:lvlJc w:val="left"/>
      <w:pPr>
        <w:ind w:left="1065" w:hanging="705"/>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147C093A"/>
    <w:multiLevelType w:val="hybridMultilevel"/>
    <w:tmpl w:val="749E5D64"/>
    <w:lvl w:ilvl="0" w:tplc="0402000F">
      <w:start w:val="1"/>
      <w:numFmt w:val="decimal"/>
      <w:lvlText w:val="%1."/>
      <w:lvlJc w:val="left"/>
      <w:pPr>
        <w:ind w:left="644" w:hanging="360"/>
      </w:pPr>
      <w:rPr>
        <w:rFonts w:hint="default"/>
      </w:rPr>
    </w:lvl>
    <w:lvl w:ilvl="1" w:tplc="04020003">
      <w:start w:val="1"/>
      <w:numFmt w:val="bullet"/>
      <w:lvlText w:val="o"/>
      <w:lvlJc w:val="left"/>
      <w:pPr>
        <w:ind w:left="1364" w:hanging="360"/>
      </w:pPr>
      <w:rPr>
        <w:rFonts w:ascii="Courier New" w:hAnsi="Courier New" w:cs="Courier New" w:hint="default"/>
      </w:rPr>
    </w:lvl>
    <w:lvl w:ilvl="2" w:tplc="04020005">
      <w:start w:val="1"/>
      <w:numFmt w:val="bullet"/>
      <w:lvlText w:val=""/>
      <w:lvlJc w:val="left"/>
      <w:pPr>
        <w:ind w:left="2084" w:hanging="360"/>
      </w:pPr>
      <w:rPr>
        <w:rFonts w:ascii="Wingdings" w:hAnsi="Wingdings" w:hint="default"/>
      </w:rPr>
    </w:lvl>
    <w:lvl w:ilvl="3" w:tplc="04020001">
      <w:start w:val="1"/>
      <w:numFmt w:val="bullet"/>
      <w:lvlText w:val=""/>
      <w:lvlJc w:val="left"/>
      <w:pPr>
        <w:ind w:left="2804" w:hanging="360"/>
      </w:pPr>
      <w:rPr>
        <w:rFonts w:ascii="Symbol" w:hAnsi="Symbol" w:hint="default"/>
      </w:rPr>
    </w:lvl>
    <w:lvl w:ilvl="4" w:tplc="04020003">
      <w:start w:val="1"/>
      <w:numFmt w:val="bullet"/>
      <w:lvlText w:val="o"/>
      <w:lvlJc w:val="left"/>
      <w:pPr>
        <w:ind w:left="3524" w:hanging="360"/>
      </w:pPr>
      <w:rPr>
        <w:rFonts w:ascii="Courier New" w:hAnsi="Courier New" w:cs="Courier New" w:hint="default"/>
      </w:rPr>
    </w:lvl>
    <w:lvl w:ilvl="5" w:tplc="04020005">
      <w:start w:val="1"/>
      <w:numFmt w:val="bullet"/>
      <w:lvlText w:val=""/>
      <w:lvlJc w:val="left"/>
      <w:pPr>
        <w:ind w:left="4244" w:hanging="360"/>
      </w:pPr>
      <w:rPr>
        <w:rFonts w:ascii="Wingdings" w:hAnsi="Wingdings" w:hint="default"/>
      </w:rPr>
    </w:lvl>
    <w:lvl w:ilvl="6" w:tplc="04020001">
      <w:start w:val="1"/>
      <w:numFmt w:val="bullet"/>
      <w:lvlText w:val=""/>
      <w:lvlJc w:val="left"/>
      <w:pPr>
        <w:ind w:left="4964" w:hanging="360"/>
      </w:pPr>
      <w:rPr>
        <w:rFonts w:ascii="Symbol" w:hAnsi="Symbol" w:hint="default"/>
      </w:rPr>
    </w:lvl>
    <w:lvl w:ilvl="7" w:tplc="04020003">
      <w:start w:val="1"/>
      <w:numFmt w:val="bullet"/>
      <w:lvlText w:val="o"/>
      <w:lvlJc w:val="left"/>
      <w:pPr>
        <w:ind w:left="5684" w:hanging="360"/>
      </w:pPr>
      <w:rPr>
        <w:rFonts w:ascii="Courier New" w:hAnsi="Courier New" w:cs="Courier New" w:hint="default"/>
      </w:rPr>
    </w:lvl>
    <w:lvl w:ilvl="8" w:tplc="04020005">
      <w:start w:val="1"/>
      <w:numFmt w:val="bullet"/>
      <w:lvlText w:val=""/>
      <w:lvlJc w:val="left"/>
      <w:pPr>
        <w:ind w:left="6404" w:hanging="360"/>
      </w:pPr>
      <w:rPr>
        <w:rFonts w:ascii="Wingdings" w:hAnsi="Wingdings" w:hint="default"/>
      </w:rPr>
    </w:lvl>
  </w:abstractNum>
  <w:abstractNum w:abstractNumId="4">
    <w:nsid w:val="159A78A4"/>
    <w:multiLevelType w:val="hybridMultilevel"/>
    <w:tmpl w:val="BBC60B06"/>
    <w:lvl w:ilvl="0" w:tplc="94201D0C">
      <w:numFmt w:val="bullet"/>
      <w:lvlText w:val=""/>
      <w:lvlJc w:val="left"/>
      <w:pPr>
        <w:ind w:left="720" w:hanging="360"/>
      </w:pPr>
      <w:rPr>
        <w:rFonts w:ascii="Symbol" w:eastAsia="Calibri" w:hAnsi="Symbol" w:cs="Calibri"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94201D0C">
      <w:numFmt w:val="bullet"/>
      <w:lvlText w:val=""/>
      <w:lvlJc w:val="left"/>
      <w:pPr>
        <w:ind w:left="6480" w:hanging="360"/>
      </w:pPr>
      <w:rPr>
        <w:rFonts w:ascii="Symbol" w:eastAsia="Calibri" w:hAnsi="Symbol" w:cs="Calibri" w:hint="default"/>
        <w:color w:val="auto"/>
      </w:rPr>
    </w:lvl>
  </w:abstractNum>
  <w:abstractNum w:abstractNumId="5">
    <w:nsid w:val="17746146"/>
    <w:multiLevelType w:val="hybridMultilevel"/>
    <w:tmpl w:val="F718204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1EA85903"/>
    <w:multiLevelType w:val="hybridMultilevel"/>
    <w:tmpl w:val="A1E432E8"/>
    <w:lvl w:ilvl="0" w:tplc="89340CC0">
      <w:numFmt w:val="bullet"/>
      <w:lvlText w:val="•"/>
      <w:lvlJc w:val="left"/>
      <w:pPr>
        <w:ind w:left="1065" w:hanging="705"/>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262D399D"/>
    <w:multiLevelType w:val="hybridMultilevel"/>
    <w:tmpl w:val="E0FCD88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28115D89"/>
    <w:multiLevelType w:val="hybridMultilevel"/>
    <w:tmpl w:val="E0FCD88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2DB77624"/>
    <w:multiLevelType w:val="hybridMultilevel"/>
    <w:tmpl w:val="F718204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2EC61B28"/>
    <w:multiLevelType w:val="hybridMultilevel"/>
    <w:tmpl w:val="E0FCD88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30D801C5"/>
    <w:multiLevelType w:val="hybridMultilevel"/>
    <w:tmpl w:val="0E2287A4"/>
    <w:lvl w:ilvl="0" w:tplc="89340CC0">
      <w:numFmt w:val="bullet"/>
      <w:lvlText w:val="•"/>
      <w:lvlJc w:val="left"/>
      <w:pPr>
        <w:ind w:left="1065" w:hanging="705"/>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316A7530"/>
    <w:multiLevelType w:val="hybridMultilevel"/>
    <w:tmpl w:val="1CD2030E"/>
    <w:lvl w:ilvl="0" w:tplc="89340CC0">
      <w:numFmt w:val="bullet"/>
      <w:lvlText w:val="•"/>
      <w:lvlJc w:val="left"/>
      <w:pPr>
        <w:ind w:left="1065" w:hanging="705"/>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32A6576A"/>
    <w:multiLevelType w:val="hybridMultilevel"/>
    <w:tmpl w:val="7BA6167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33614292"/>
    <w:multiLevelType w:val="hybridMultilevel"/>
    <w:tmpl w:val="D5269D64"/>
    <w:lvl w:ilvl="0" w:tplc="8490009C">
      <w:start w:val="103"/>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33E46889"/>
    <w:multiLevelType w:val="hybridMultilevel"/>
    <w:tmpl w:val="E0FCD88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3B794471"/>
    <w:multiLevelType w:val="hybridMultilevel"/>
    <w:tmpl w:val="D7325C6E"/>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7">
    <w:nsid w:val="3C926A0B"/>
    <w:multiLevelType w:val="hybridMultilevel"/>
    <w:tmpl w:val="BCBACC50"/>
    <w:lvl w:ilvl="0" w:tplc="BEE25AA4">
      <w:start w:val="1"/>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3D5B12FC"/>
    <w:multiLevelType w:val="hybridMultilevel"/>
    <w:tmpl w:val="17A0D9C8"/>
    <w:lvl w:ilvl="0" w:tplc="89340CC0">
      <w:numFmt w:val="bullet"/>
      <w:lvlText w:val="•"/>
      <w:lvlJc w:val="left"/>
      <w:pPr>
        <w:ind w:left="1065" w:hanging="705"/>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44506EA7"/>
    <w:multiLevelType w:val="hybridMultilevel"/>
    <w:tmpl w:val="FED844B2"/>
    <w:lvl w:ilvl="0" w:tplc="0402000F">
      <w:start w:val="1"/>
      <w:numFmt w:val="decimal"/>
      <w:lvlText w:val="%1."/>
      <w:lvlJc w:val="left"/>
      <w:pPr>
        <w:ind w:left="1008" w:hanging="360"/>
      </w:pPr>
    </w:lvl>
    <w:lvl w:ilvl="1" w:tplc="04020019" w:tentative="1">
      <w:start w:val="1"/>
      <w:numFmt w:val="lowerLetter"/>
      <w:lvlText w:val="%2."/>
      <w:lvlJc w:val="left"/>
      <w:pPr>
        <w:ind w:left="1728" w:hanging="360"/>
      </w:pPr>
    </w:lvl>
    <w:lvl w:ilvl="2" w:tplc="0402001B" w:tentative="1">
      <w:start w:val="1"/>
      <w:numFmt w:val="lowerRoman"/>
      <w:lvlText w:val="%3."/>
      <w:lvlJc w:val="right"/>
      <w:pPr>
        <w:ind w:left="2448" w:hanging="180"/>
      </w:pPr>
    </w:lvl>
    <w:lvl w:ilvl="3" w:tplc="0402000F" w:tentative="1">
      <w:start w:val="1"/>
      <w:numFmt w:val="decimal"/>
      <w:lvlText w:val="%4."/>
      <w:lvlJc w:val="left"/>
      <w:pPr>
        <w:ind w:left="3168" w:hanging="360"/>
      </w:pPr>
    </w:lvl>
    <w:lvl w:ilvl="4" w:tplc="04020019" w:tentative="1">
      <w:start w:val="1"/>
      <w:numFmt w:val="lowerLetter"/>
      <w:lvlText w:val="%5."/>
      <w:lvlJc w:val="left"/>
      <w:pPr>
        <w:ind w:left="3888" w:hanging="360"/>
      </w:pPr>
    </w:lvl>
    <w:lvl w:ilvl="5" w:tplc="0402001B" w:tentative="1">
      <w:start w:val="1"/>
      <w:numFmt w:val="lowerRoman"/>
      <w:lvlText w:val="%6."/>
      <w:lvlJc w:val="right"/>
      <w:pPr>
        <w:ind w:left="4608" w:hanging="180"/>
      </w:pPr>
    </w:lvl>
    <w:lvl w:ilvl="6" w:tplc="0402000F" w:tentative="1">
      <w:start w:val="1"/>
      <w:numFmt w:val="decimal"/>
      <w:lvlText w:val="%7."/>
      <w:lvlJc w:val="left"/>
      <w:pPr>
        <w:ind w:left="5328" w:hanging="360"/>
      </w:pPr>
    </w:lvl>
    <w:lvl w:ilvl="7" w:tplc="04020019" w:tentative="1">
      <w:start w:val="1"/>
      <w:numFmt w:val="lowerLetter"/>
      <w:lvlText w:val="%8."/>
      <w:lvlJc w:val="left"/>
      <w:pPr>
        <w:ind w:left="6048" w:hanging="360"/>
      </w:pPr>
    </w:lvl>
    <w:lvl w:ilvl="8" w:tplc="0402001B" w:tentative="1">
      <w:start w:val="1"/>
      <w:numFmt w:val="lowerRoman"/>
      <w:lvlText w:val="%9."/>
      <w:lvlJc w:val="right"/>
      <w:pPr>
        <w:ind w:left="6768" w:hanging="180"/>
      </w:pPr>
    </w:lvl>
  </w:abstractNum>
  <w:abstractNum w:abstractNumId="20">
    <w:nsid w:val="475556D0"/>
    <w:multiLevelType w:val="hybridMultilevel"/>
    <w:tmpl w:val="45F67712"/>
    <w:lvl w:ilvl="0" w:tplc="0402000F">
      <w:start w:val="1"/>
      <w:numFmt w:val="decimal"/>
      <w:lvlText w:val="%1."/>
      <w:lvlJc w:val="left"/>
      <w:pPr>
        <w:ind w:left="720" w:hanging="360"/>
      </w:pPr>
      <w:rPr>
        <w:rFonts w:hint="default"/>
        <w:b/>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1">
    <w:nsid w:val="4A8A4D78"/>
    <w:multiLevelType w:val="hybridMultilevel"/>
    <w:tmpl w:val="8458A8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4EE1497D"/>
    <w:multiLevelType w:val="hybridMultilevel"/>
    <w:tmpl w:val="E0326A06"/>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nsid w:val="531C2E70"/>
    <w:multiLevelType w:val="hybridMultilevel"/>
    <w:tmpl w:val="7E32E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34F5762"/>
    <w:multiLevelType w:val="hybridMultilevel"/>
    <w:tmpl w:val="0B028744"/>
    <w:lvl w:ilvl="0" w:tplc="01CC41B2">
      <w:start w:val="1"/>
      <w:numFmt w:val="bullet"/>
      <w:lvlText w:val="-"/>
      <w:lvlJc w:val="left"/>
      <w:pPr>
        <w:ind w:left="1080" w:hanging="360"/>
      </w:pPr>
      <w:rPr>
        <w:rFonts w:ascii="Sylfaen" w:eastAsia="Times New Roman" w:hAnsi="Sylfaen" w:cs="Times New Roman" w:hint="default"/>
        <w:lang w:val="bg-BG"/>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5">
    <w:nsid w:val="559E6703"/>
    <w:multiLevelType w:val="hybridMultilevel"/>
    <w:tmpl w:val="749E5D64"/>
    <w:lvl w:ilvl="0" w:tplc="0402000F">
      <w:start w:val="1"/>
      <w:numFmt w:val="decimal"/>
      <w:lvlText w:val="%1."/>
      <w:lvlJc w:val="left"/>
      <w:pPr>
        <w:ind w:left="2992" w:hanging="360"/>
      </w:pPr>
      <w:rPr>
        <w:rFonts w:hint="default"/>
      </w:rPr>
    </w:lvl>
    <w:lvl w:ilvl="1" w:tplc="04020003">
      <w:start w:val="1"/>
      <w:numFmt w:val="bullet"/>
      <w:lvlText w:val="o"/>
      <w:lvlJc w:val="left"/>
      <w:pPr>
        <w:ind w:left="3712" w:hanging="360"/>
      </w:pPr>
      <w:rPr>
        <w:rFonts w:ascii="Courier New" w:hAnsi="Courier New" w:cs="Courier New" w:hint="default"/>
      </w:rPr>
    </w:lvl>
    <w:lvl w:ilvl="2" w:tplc="04020005">
      <w:start w:val="1"/>
      <w:numFmt w:val="bullet"/>
      <w:lvlText w:val=""/>
      <w:lvlJc w:val="left"/>
      <w:pPr>
        <w:ind w:left="4432" w:hanging="360"/>
      </w:pPr>
      <w:rPr>
        <w:rFonts w:ascii="Wingdings" w:hAnsi="Wingdings" w:hint="default"/>
      </w:rPr>
    </w:lvl>
    <w:lvl w:ilvl="3" w:tplc="04020001">
      <w:start w:val="1"/>
      <w:numFmt w:val="bullet"/>
      <w:lvlText w:val=""/>
      <w:lvlJc w:val="left"/>
      <w:pPr>
        <w:ind w:left="5152" w:hanging="360"/>
      </w:pPr>
      <w:rPr>
        <w:rFonts w:ascii="Symbol" w:hAnsi="Symbol" w:hint="default"/>
      </w:rPr>
    </w:lvl>
    <w:lvl w:ilvl="4" w:tplc="04020003">
      <w:start w:val="1"/>
      <w:numFmt w:val="bullet"/>
      <w:lvlText w:val="o"/>
      <w:lvlJc w:val="left"/>
      <w:pPr>
        <w:ind w:left="5872" w:hanging="360"/>
      </w:pPr>
      <w:rPr>
        <w:rFonts w:ascii="Courier New" w:hAnsi="Courier New" w:cs="Courier New" w:hint="default"/>
      </w:rPr>
    </w:lvl>
    <w:lvl w:ilvl="5" w:tplc="04020005">
      <w:start w:val="1"/>
      <w:numFmt w:val="bullet"/>
      <w:lvlText w:val=""/>
      <w:lvlJc w:val="left"/>
      <w:pPr>
        <w:ind w:left="6592" w:hanging="360"/>
      </w:pPr>
      <w:rPr>
        <w:rFonts w:ascii="Wingdings" w:hAnsi="Wingdings" w:hint="default"/>
      </w:rPr>
    </w:lvl>
    <w:lvl w:ilvl="6" w:tplc="04020001">
      <w:start w:val="1"/>
      <w:numFmt w:val="bullet"/>
      <w:lvlText w:val=""/>
      <w:lvlJc w:val="left"/>
      <w:pPr>
        <w:ind w:left="7312" w:hanging="360"/>
      </w:pPr>
      <w:rPr>
        <w:rFonts w:ascii="Symbol" w:hAnsi="Symbol" w:hint="default"/>
      </w:rPr>
    </w:lvl>
    <w:lvl w:ilvl="7" w:tplc="04020003">
      <w:start w:val="1"/>
      <w:numFmt w:val="bullet"/>
      <w:lvlText w:val="o"/>
      <w:lvlJc w:val="left"/>
      <w:pPr>
        <w:ind w:left="8032" w:hanging="360"/>
      </w:pPr>
      <w:rPr>
        <w:rFonts w:ascii="Courier New" w:hAnsi="Courier New" w:cs="Courier New" w:hint="default"/>
      </w:rPr>
    </w:lvl>
    <w:lvl w:ilvl="8" w:tplc="04020005">
      <w:start w:val="1"/>
      <w:numFmt w:val="bullet"/>
      <w:lvlText w:val=""/>
      <w:lvlJc w:val="left"/>
      <w:pPr>
        <w:ind w:left="8752" w:hanging="360"/>
      </w:pPr>
      <w:rPr>
        <w:rFonts w:ascii="Wingdings" w:hAnsi="Wingdings" w:hint="default"/>
      </w:rPr>
    </w:lvl>
  </w:abstractNum>
  <w:abstractNum w:abstractNumId="26">
    <w:nsid w:val="5D6C38C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DEC6D63"/>
    <w:multiLevelType w:val="hybridMultilevel"/>
    <w:tmpl w:val="E0FCD88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5F563875"/>
    <w:multiLevelType w:val="hybridMultilevel"/>
    <w:tmpl w:val="1BDC128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6569492F"/>
    <w:multiLevelType w:val="hybridMultilevel"/>
    <w:tmpl w:val="82D0E68E"/>
    <w:lvl w:ilvl="0" w:tplc="89340CC0">
      <w:numFmt w:val="bullet"/>
      <w:lvlText w:val="•"/>
      <w:lvlJc w:val="left"/>
      <w:pPr>
        <w:ind w:left="1065" w:hanging="705"/>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693D1A5C"/>
    <w:multiLevelType w:val="multilevel"/>
    <w:tmpl w:val="6C8499FC"/>
    <w:lvl w:ilvl="0">
      <w:start w:val="1"/>
      <w:numFmt w:val="decimal"/>
      <w:pStyle w:val="Heading1"/>
      <w:lvlText w:val="%1."/>
      <w:lvlJc w:val="left"/>
      <w:pPr>
        <w:ind w:left="360" w:hanging="360"/>
      </w:pPr>
      <w:rPr>
        <w:color w:val="C45911"/>
      </w:rPr>
    </w:lvl>
    <w:lvl w:ilvl="1">
      <w:start w:val="1"/>
      <w:numFmt w:val="decimal"/>
      <w:pStyle w:val="Heading2"/>
      <w:lvlText w:val="%1.%2."/>
      <w:lvlJc w:val="left"/>
      <w:pPr>
        <w:tabs>
          <w:tab w:val="num" w:pos="720"/>
        </w:tabs>
        <w:ind w:left="720" w:hanging="720"/>
      </w:pPr>
      <w:rPr>
        <w:i w:val="0"/>
      </w:rPr>
    </w:lvl>
    <w:lvl w:ilvl="2">
      <w:start w:val="1"/>
      <w:numFmt w:val="decimal"/>
      <w:pStyle w:val="Heading3"/>
      <w:lvlText w:val="%1.%2.%3."/>
      <w:lvlJc w:val="left"/>
      <w:pPr>
        <w:tabs>
          <w:tab w:val="num" w:pos="1920"/>
        </w:tabs>
        <w:ind w:left="1920" w:hanging="720"/>
      </w:pPr>
      <w:rPr>
        <w:sz w:val="20"/>
      </w:r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69926181"/>
    <w:multiLevelType w:val="hybridMultilevel"/>
    <w:tmpl w:val="D908CB0C"/>
    <w:lvl w:ilvl="0" w:tplc="89340CC0">
      <w:numFmt w:val="bullet"/>
      <w:lvlText w:val="•"/>
      <w:lvlJc w:val="left"/>
      <w:pPr>
        <w:ind w:left="1065" w:hanging="705"/>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6C8D1C47"/>
    <w:multiLevelType w:val="hybridMultilevel"/>
    <w:tmpl w:val="116CD70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727530DB"/>
    <w:multiLevelType w:val="hybridMultilevel"/>
    <w:tmpl w:val="15A24198"/>
    <w:lvl w:ilvl="0" w:tplc="89340CC0">
      <w:numFmt w:val="bullet"/>
      <w:lvlText w:val="•"/>
      <w:lvlJc w:val="left"/>
      <w:pPr>
        <w:ind w:left="1065" w:hanging="705"/>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773F7CEF"/>
    <w:multiLevelType w:val="hybridMultilevel"/>
    <w:tmpl w:val="63448A66"/>
    <w:lvl w:ilvl="0" w:tplc="89340CC0">
      <w:numFmt w:val="bullet"/>
      <w:lvlText w:val="•"/>
      <w:lvlJc w:val="left"/>
      <w:pPr>
        <w:ind w:left="1065" w:hanging="705"/>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0"/>
  </w:num>
  <w:num w:numId="2">
    <w:abstractNumId w:val="23"/>
  </w:num>
  <w:num w:numId="3">
    <w:abstractNumId w:val="26"/>
  </w:num>
  <w:num w:numId="4">
    <w:abstractNumId w:val="14"/>
  </w:num>
  <w:num w:numId="5">
    <w:abstractNumId w:val="32"/>
  </w:num>
  <w:num w:numId="6">
    <w:abstractNumId w:val="21"/>
  </w:num>
  <w:num w:numId="7">
    <w:abstractNumId w:val="30"/>
  </w:num>
  <w:num w:numId="8">
    <w:abstractNumId w:val="30"/>
  </w:num>
  <w:num w:numId="9">
    <w:abstractNumId w:val="0"/>
  </w:num>
  <w:num w:numId="10">
    <w:abstractNumId w:val="6"/>
  </w:num>
  <w:num w:numId="11">
    <w:abstractNumId w:val="12"/>
  </w:num>
  <w:num w:numId="12">
    <w:abstractNumId w:val="30"/>
  </w:num>
  <w:num w:numId="13">
    <w:abstractNumId w:val="31"/>
  </w:num>
  <w:num w:numId="14">
    <w:abstractNumId w:val="34"/>
  </w:num>
  <w:num w:numId="15">
    <w:abstractNumId w:val="29"/>
  </w:num>
  <w:num w:numId="16">
    <w:abstractNumId w:val="30"/>
  </w:num>
  <w:num w:numId="17">
    <w:abstractNumId w:val="2"/>
  </w:num>
  <w:num w:numId="18">
    <w:abstractNumId w:val="11"/>
  </w:num>
  <w:num w:numId="19">
    <w:abstractNumId w:val="1"/>
  </w:num>
  <w:num w:numId="20">
    <w:abstractNumId w:val="30"/>
  </w:num>
  <w:num w:numId="21">
    <w:abstractNumId w:val="33"/>
  </w:num>
  <w:num w:numId="22">
    <w:abstractNumId w:val="30"/>
  </w:num>
  <w:num w:numId="23">
    <w:abstractNumId w:val="13"/>
  </w:num>
  <w:num w:numId="24">
    <w:abstractNumId w:val="4"/>
  </w:num>
  <w:num w:numId="25">
    <w:abstractNumId w:val="30"/>
  </w:num>
  <w:num w:numId="26">
    <w:abstractNumId w:val="30"/>
  </w:num>
  <w:num w:numId="27">
    <w:abstractNumId w:val="30"/>
  </w:num>
  <w:num w:numId="28">
    <w:abstractNumId w:val="18"/>
  </w:num>
  <w:num w:numId="29">
    <w:abstractNumId w:val="7"/>
  </w:num>
  <w:num w:numId="30">
    <w:abstractNumId w:val="17"/>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5"/>
  </w:num>
  <w:num w:numId="34">
    <w:abstractNumId w:val="9"/>
  </w:num>
  <w:num w:numId="35">
    <w:abstractNumId w:val="30"/>
  </w:num>
  <w:num w:numId="36">
    <w:abstractNumId w:val="30"/>
  </w:num>
  <w:num w:numId="37">
    <w:abstractNumId w:val="16"/>
  </w:num>
  <w:num w:numId="38">
    <w:abstractNumId w:val="24"/>
  </w:num>
  <w:num w:numId="39">
    <w:abstractNumId w:val="28"/>
  </w:num>
  <w:num w:numId="40">
    <w:abstractNumId w:val="20"/>
  </w:num>
  <w:num w:numId="41">
    <w:abstractNumId w:val="25"/>
  </w:num>
  <w:num w:numId="42">
    <w:abstractNumId w:val="3"/>
  </w:num>
  <w:num w:numId="4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0"/>
  </w:num>
  <w:num w:numId="45">
    <w:abstractNumId w:val="15"/>
  </w:num>
  <w:num w:numId="46">
    <w:abstractNumId w:val="10"/>
  </w:num>
  <w:num w:numId="47">
    <w:abstractNumId w:val="27"/>
  </w:num>
  <w:num w:numId="48">
    <w:abstractNumId w:val="22"/>
  </w:num>
  <w:num w:numId="49">
    <w:abstractNumId w:val="19"/>
  </w:num>
  <w:num w:numId="50">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5DA"/>
    <w:rsid w:val="000005EB"/>
    <w:rsid w:val="000011A3"/>
    <w:rsid w:val="0000158B"/>
    <w:rsid w:val="000060E7"/>
    <w:rsid w:val="0001096C"/>
    <w:rsid w:val="00010D38"/>
    <w:rsid w:val="00012B5F"/>
    <w:rsid w:val="0001501F"/>
    <w:rsid w:val="000170E7"/>
    <w:rsid w:val="0002268E"/>
    <w:rsid w:val="00023043"/>
    <w:rsid w:val="00024CD7"/>
    <w:rsid w:val="000252C9"/>
    <w:rsid w:val="000255D1"/>
    <w:rsid w:val="00026525"/>
    <w:rsid w:val="00026D79"/>
    <w:rsid w:val="000276BC"/>
    <w:rsid w:val="000305A1"/>
    <w:rsid w:val="00031497"/>
    <w:rsid w:val="00033DCB"/>
    <w:rsid w:val="000358E8"/>
    <w:rsid w:val="00035A92"/>
    <w:rsid w:val="00036AE9"/>
    <w:rsid w:val="00036CFB"/>
    <w:rsid w:val="000370B2"/>
    <w:rsid w:val="000402DF"/>
    <w:rsid w:val="0004086A"/>
    <w:rsid w:val="00041C9D"/>
    <w:rsid w:val="000421B6"/>
    <w:rsid w:val="00043C21"/>
    <w:rsid w:val="00044516"/>
    <w:rsid w:val="00045550"/>
    <w:rsid w:val="00046D6C"/>
    <w:rsid w:val="00046DC3"/>
    <w:rsid w:val="00047FD3"/>
    <w:rsid w:val="00050D39"/>
    <w:rsid w:val="000543D9"/>
    <w:rsid w:val="00055AC3"/>
    <w:rsid w:val="00056742"/>
    <w:rsid w:val="0006057F"/>
    <w:rsid w:val="00060C52"/>
    <w:rsid w:val="00060DD0"/>
    <w:rsid w:val="00061059"/>
    <w:rsid w:val="0006186F"/>
    <w:rsid w:val="00062185"/>
    <w:rsid w:val="00064876"/>
    <w:rsid w:val="00064D86"/>
    <w:rsid w:val="0006593F"/>
    <w:rsid w:val="00067792"/>
    <w:rsid w:val="00072E86"/>
    <w:rsid w:val="000744E0"/>
    <w:rsid w:val="00075AA7"/>
    <w:rsid w:val="00075FCB"/>
    <w:rsid w:val="00076B01"/>
    <w:rsid w:val="00076C9A"/>
    <w:rsid w:val="00077BA8"/>
    <w:rsid w:val="00081133"/>
    <w:rsid w:val="00081151"/>
    <w:rsid w:val="000812BC"/>
    <w:rsid w:val="000826F5"/>
    <w:rsid w:val="00082B1D"/>
    <w:rsid w:val="000843D6"/>
    <w:rsid w:val="00084C6E"/>
    <w:rsid w:val="00084F44"/>
    <w:rsid w:val="00085307"/>
    <w:rsid w:val="00085693"/>
    <w:rsid w:val="0008653A"/>
    <w:rsid w:val="00086D65"/>
    <w:rsid w:val="00092549"/>
    <w:rsid w:val="00093C3E"/>
    <w:rsid w:val="00094156"/>
    <w:rsid w:val="00094D1B"/>
    <w:rsid w:val="0009523C"/>
    <w:rsid w:val="00096DC9"/>
    <w:rsid w:val="00097100"/>
    <w:rsid w:val="0009775C"/>
    <w:rsid w:val="000A08DF"/>
    <w:rsid w:val="000A13F1"/>
    <w:rsid w:val="000A1890"/>
    <w:rsid w:val="000A2C8F"/>
    <w:rsid w:val="000A374F"/>
    <w:rsid w:val="000A4ACD"/>
    <w:rsid w:val="000A4D30"/>
    <w:rsid w:val="000B0065"/>
    <w:rsid w:val="000B0907"/>
    <w:rsid w:val="000B172B"/>
    <w:rsid w:val="000B190B"/>
    <w:rsid w:val="000B2DF7"/>
    <w:rsid w:val="000B51D2"/>
    <w:rsid w:val="000B6E9D"/>
    <w:rsid w:val="000B6F67"/>
    <w:rsid w:val="000C0269"/>
    <w:rsid w:val="000C2284"/>
    <w:rsid w:val="000C5BD6"/>
    <w:rsid w:val="000C683A"/>
    <w:rsid w:val="000C6A44"/>
    <w:rsid w:val="000C7A50"/>
    <w:rsid w:val="000C7F53"/>
    <w:rsid w:val="000D1890"/>
    <w:rsid w:val="000D2415"/>
    <w:rsid w:val="000D362A"/>
    <w:rsid w:val="000D6180"/>
    <w:rsid w:val="000D69CF"/>
    <w:rsid w:val="000D7E38"/>
    <w:rsid w:val="000E23E3"/>
    <w:rsid w:val="000E27B2"/>
    <w:rsid w:val="000E2D03"/>
    <w:rsid w:val="000E2DF8"/>
    <w:rsid w:val="000E5D20"/>
    <w:rsid w:val="000E6561"/>
    <w:rsid w:val="000E7A3A"/>
    <w:rsid w:val="000E7E29"/>
    <w:rsid w:val="000F0544"/>
    <w:rsid w:val="000F0E8B"/>
    <w:rsid w:val="000F2507"/>
    <w:rsid w:val="000F5702"/>
    <w:rsid w:val="000F71BC"/>
    <w:rsid w:val="001005C3"/>
    <w:rsid w:val="001027DF"/>
    <w:rsid w:val="00102C60"/>
    <w:rsid w:val="001035EC"/>
    <w:rsid w:val="00104F23"/>
    <w:rsid w:val="001058F4"/>
    <w:rsid w:val="00106C35"/>
    <w:rsid w:val="00107234"/>
    <w:rsid w:val="0010783E"/>
    <w:rsid w:val="00115069"/>
    <w:rsid w:val="001158D3"/>
    <w:rsid w:val="0011595F"/>
    <w:rsid w:val="001201FD"/>
    <w:rsid w:val="00121964"/>
    <w:rsid w:val="0012214B"/>
    <w:rsid w:val="001230DC"/>
    <w:rsid w:val="00126CD9"/>
    <w:rsid w:val="00130B5D"/>
    <w:rsid w:val="00131298"/>
    <w:rsid w:val="00132D7D"/>
    <w:rsid w:val="001356CE"/>
    <w:rsid w:val="00136A64"/>
    <w:rsid w:val="001400F0"/>
    <w:rsid w:val="0014082E"/>
    <w:rsid w:val="00141676"/>
    <w:rsid w:val="001444CA"/>
    <w:rsid w:val="001458DB"/>
    <w:rsid w:val="00150B61"/>
    <w:rsid w:val="0015101D"/>
    <w:rsid w:val="0015145C"/>
    <w:rsid w:val="00151D00"/>
    <w:rsid w:val="001535AE"/>
    <w:rsid w:val="0015799D"/>
    <w:rsid w:val="001579DB"/>
    <w:rsid w:val="00157C7A"/>
    <w:rsid w:val="00160C8B"/>
    <w:rsid w:val="00163954"/>
    <w:rsid w:val="00163CB4"/>
    <w:rsid w:val="001650DB"/>
    <w:rsid w:val="00167156"/>
    <w:rsid w:val="00167E41"/>
    <w:rsid w:val="00171989"/>
    <w:rsid w:val="0017337A"/>
    <w:rsid w:val="00173F8A"/>
    <w:rsid w:val="00174C4F"/>
    <w:rsid w:val="0017583C"/>
    <w:rsid w:val="00176861"/>
    <w:rsid w:val="0017712E"/>
    <w:rsid w:val="001771EB"/>
    <w:rsid w:val="00177AC2"/>
    <w:rsid w:val="00177EF8"/>
    <w:rsid w:val="0018127A"/>
    <w:rsid w:val="00181F48"/>
    <w:rsid w:val="00182B81"/>
    <w:rsid w:val="00183765"/>
    <w:rsid w:val="00183B10"/>
    <w:rsid w:val="00184D8D"/>
    <w:rsid w:val="00185C34"/>
    <w:rsid w:val="001872AD"/>
    <w:rsid w:val="001917A7"/>
    <w:rsid w:val="00193C22"/>
    <w:rsid w:val="00194B4F"/>
    <w:rsid w:val="001956E0"/>
    <w:rsid w:val="00195EC8"/>
    <w:rsid w:val="00197987"/>
    <w:rsid w:val="00197CC1"/>
    <w:rsid w:val="001A08D2"/>
    <w:rsid w:val="001A2DE6"/>
    <w:rsid w:val="001A57C8"/>
    <w:rsid w:val="001A77F8"/>
    <w:rsid w:val="001B0125"/>
    <w:rsid w:val="001B0BAA"/>
    <w:rsid w:val="001B14A1"/>
    <w:rsid w:val="001B1D91"/>
    <w:rsid w:val="001B56B3"/>
    <w:rsid w:val="001B5788"/>
    <w:rsid w:val="001B6007"/>
    <w:rsid w:val="001B6D48"/>
    <w:rsid w:val="001B6D6B"/>
    <w:rsid w:val="001C22A2"/>
    <w:rsid w:val="001C3579"/>
    <w:rsid w:val="001C3A7C"/>
    <w:rsid w:val="001C550D"/>
    <w:rsid w:val="001C6886"/>
    <w:rsid w:val="001C75AC"/>
    <w:rsid w:val="001D0096"/>
    <w:rsid w:val="001D08E4"/>
    <w:rsid w:val="001D413F"/>
    <w:rsid w:val="001D4923"/>
    <w:rsid w:val="001D644B"/>
    <w:rsid w:val="001E2C2A"/>
    <w:rsid w:val="001E39C7"/>
    <w:rsid w:val="001E3A3F"/>
    <w:rsid w:val="001E4603"/>
    <w:rsid w:val="001E6AE6"/>
    <w:rsid w:val="001E71FC"/>
    <w:rsid w:val="001E7CD0"/>
    <w:rsid w:val="001F02B2"/>
    <w:rsid w:val="001F0F8A"/>
    <w:rsid w:val="001F1BBB"/>
    <w:rsid w:val="001F3A18"/>
    <w:rsid w:val="001F4EBE"/>
    <w:rsid w:val="001F721A"/>
    <w:rsid w:val="0020110C"/>
    <w:rsid w:val="00202794"/>
    <w:rsid w:val="00204332"/>
    <w:rsid w:val="00205E0E"/>
    <w:rsid w:val="0021346C"/>
    <w:rsid w:val="00215143"/>
    <w:rsid w:val="00220BAE"/>
    <w:rsid w:val="00221BD7"/>
    <w:rsid w:val="002241D6"/>
    <w:rsid w:val="002268ED"/>
    <w:rsid w:val="0022747A"/>
    <w:rsid w:val="002300FD"/>
    <w:rsid w:val="00230CC1"/>
    <w:rsid w:val="002318D6"/>
    <w:rsid w:val="00231996"/>
    <w:rsid w:val="00236119"/>
    <w:rsid w:val="00236FDC"/>
    <w:rsid w:val="00237F64"/>
    <w:rsid w:val="00242B15"/>
    <w:rsid w:val="00243022"/>
    <w:rsid w:val="00244C5D"/>
    <w:rsid w:val="00245C3A"/>
    <w:rsid w:val="00245CC5"/>
    <w:rsid w:val="00245FF8"/>
    <w:rsid w:val="00246A30"/>
    <w:rsid w:val="0024719B"/>
    <w:rsid w:val="002510DE"/>
    <w:rsid w:val="002523D7"/>
    <w:rsid w:val="0025298E"/>
    <w:rsid w:val="00252C5E"/>
    <w:rsid w:val="0025456F"/>
    <w:rsid w:val="00256BAF"/>
    <w:rsid w:val="00260F43"/>
    <w:rsid w:val="002611F8"/>
    <w:rsid w:val="00262E83"/>
    <w:rsid w:val="002631BC"/>
    <w:rsid w:val="0026393E"/>
    <w:rsid w:val="00263A5F"/>
    <w:rsid w:val="0026498B"/>
    <w:rsid w:val="0026506F"/>
    <w:rsid w:val="0026538B"/>
    <w:rsid w:val="0026656C"/>
    <w:rsid w:val="0026672A"/>
    <w:rsid w:val="00267A54"/>
    <w:rsid w:val="00267FD3"/>
    <w:rsid w:val="00272002"/>
    <w:rsid w:val="0027445E"/>
    <w:rsid w:val="00274E61"/>
    <w:rsid w:val="00276872"/>
    <w:rsid w:val="0028099E"/>
    <w:rsid w:val="002825C2"/>
    <w:rsid w:val="00283253"/>
    <w:rsid w:val="00292E10"/>
    <w:rsid w:val="00292FEC"/>
    <w:rsid w:val="002939AD"/>
    <w:rsid w:val="00295166"/>
    <w:rsid w:val="00296DB2"/>
    <w:rsid w:val="002A0182"/>
    <w:rsid w:val="002A0DC7"/>
    <w:rsid w:val="002A1D2F"/>
    <w:rsid w:val="002A28DB"/>
    <w:rsid w:val="002A38A9"/>
    <w:rsid w:val="002A504C"/>
    <w:rsid w:val="002A680F"/>
    <w:rsid w:val="002A6A61"/>
    <w:rsid w:val="002B22BB"/>
    <w:rsid w:val="002B362B"/>
    <w:rsid w:val="002B496F"/>
    <w:rsid w:val="002B4B2A"/>
    <w:rsid w:val="002B4C12"/>
    <w:rsid w:val="002B5C8E"/>
    <w:rsid w:val="002C1993"/>
    <w:rsid w:val="002C28DE"/>
    <w:rsid w:val="002C3B4E"/>
    <w:rsid w:val="002C4978"/>
    <w:rsid w:val="002C4B11"/>
    <w:rsid w:val="002C50A8"/>
    <w:rsid w:val="002C550B"/>
    <w:rsid w:val="002C583B"/>
    <w:rsid w:val="002C64ED"/>
    <w:rsid w:val="002C716B"/>
    <w:rsid w:val="002D1944"/>
    <w:rsid w:val="002D2DE6"/>
    <w:rsid w:val="002D39DF"/>
    <w:rsid w:val="002D4572"/>
    <w:rsid w:val="002D5B93"/>
    <w:rsid w:val="002E00C0"/>
    <w:rsid w:val="002E1D56"/>
    <w:rsid w:val="002E1F65"/>
    <w:rsid w:val="002E439E"/>
    <w:rsid w:val="002E5601"/>
    <w:rsid w:val="002F1C41"/>
    <w:rsid w:val="002F4F77"/>
    <w:rsid w:val="002F711B"/>
    <w:rsid w:val="002F76EB"/>
    <w:rsid w:val="002F79C8"/>
    <w:rsid w:val="00300280"/>
    <w:rsid w:val="00302053"/>
    <w:rsid w:val="003022F8"/>
    <w:rsid w:val="00302F07"/>
    <w:rsid w:val="00302FCE"/>
    <w:rsid w:val="00303910"/>
    <w:rsid w:val="00304819"/>
    <w:rsid w:val="00304B40"/>
    <w:rsid w:val="00305C12"/>
    <w:rsid w:val="00305CB7"/>
    <w:rsid w:val="0030636B"/>
    <w:rsid w:val="003102EF"/>
    <w:rsid w:val="0031056C"/>
    <w:rsid w:val="00311F24"/>
    <w:rsid w:val="0031289F"/>
    <w:rsid w:val="00320384"/>
    <w:rsid w:val="00322FE8"/>
    <w:rsid w:val="00323FE7"/>
    <w:rsid w:val="0032442F"/>
    <w:rsid w:val="0032445A"/>
    <w:rsid w:val="003246A1"/>
    <w:rsid w:val="00325048"/>
    <w:rsid w:val="00327995"/>
    <w:rsid w:val="003342B2"/>
    <w:rsid w:val="003350C8"/>
    <w:rsid w:val="00335C97"/>
    <w:rsid w:val="00335DFD"/>
    <w:rsid w:val="0033745A"/>
    <w:rsid w:val="00337FFD"/>
    <w:rsid w:val="00341D36"/>
    <w:rsid w:val="00342235"/>
    <w:rsid w:val="00343382"/>
    <w:rsid w:val="00343D0E"/>
    <w:rsid w:val="00343D48"/>
    <w:rsid w:val="00344DAB"/>
    <w:rsid w:val="00345F42"/>
    <w:rsid w:val="00346907"/>
    <w:rsid w:val="00347809"/>
    <w:rsid w:val="00350FD0"/>
    <w:rsid w:val="00352CD3"/>
    <w:rsid w:val="00354190"/>
    <w:rsid w:val="0035623C"/>
    <w:rsid w:val="0035695C"/>
    <w:rsid w:val="003569E3"/>
    <w:rsid w:val="00360F64"/>
    <w:rsid w:val="003614D5"/>
    <w:rsid w:val="003630A2"/>
    <w:rsid w:val="0036523A"/>
    <w:rsid w:val="00370F6B"/>
    <w:rsid w:val="0037263E"/>
    <w:rsid w:val="00372705"/>
    <w:rsid w:val="00373952"/>
    <w:rsid w:val="00374F1C"/>
    <w:rsid w:val="003752EC"/>
    <w:rsid w:val="0037627A"/>
    <w:rsid w:val="00376D64"/>
    <w:rsid w:val="00380BB5"/>
    <w:rsid w:val="0039024B"/>
    <w:rsid w:val="00390C58"/>
    <w:rsid w:val="0039236E"/>
    <w:rsid w:val="00393EA7"/>
    <w:rsid w:val="003943B9"/>
    <w:rsid w:val="003955EC"/>
    <w:rsid w:val="00397DE0"/>
    <w:rsid w:val="003A312D"/>
    <w:rsid w:val="003A6AD8"/>
    <w:rsid w:val="003B19E3"/>
    <w:rsid w:val="003B4C61"/>
    <w:rsid w:val="003B4EEE"/>
    <w:rsid w:val="003B596F"/>
    <w:rsid w:val="003B62DA"/>
    <w:rsid w:val="003C28EB"/>
    <w:rsid w:val="003C4F75"/>
    <w:rsid w:val="003C6725"/>
    <w:rsid w:val="003C7BD1"/>
    <w:rsid w:val="003D004B"/>
    <w:rsid w:val="003D1FC9"/>
    <w:rsid w:val="003D3444"/>
    <w:rsid w:val="003D35CB"/>
    <w:rsid w:val="003D57DC"/>
    <w:rsid w:val="003D6626"/>
    <w:rsid w:val="003D77E0"/>
    <w:rsid w:val="003D7C7D"/>
    <w:rsid w:val="003E1004"/>
    <w:rsid w:val="003E15E6"/>
    <w:rsid w:val="003E170C"/>
    <w:rsid w:val="003E2403"/>
    <w:rsid w:val="003E3BA3"/>
    <w:rsid w:val="003E71D8"/>
    <w:rsid w:val="003F107E"/>
    <w:rsid w:val="003F15FD"/>
    <w:rsid w:val="003F1FC5"/>
    <w:rsid w:val="003F2A23"/>
    <w:rsid w:val="003F6713"/>
    <w:rsid w:val="003F7962"/>
    <w:rsid w:val="003F7D58"/>
    <w:rsid w:val="00403FF2"/>
    <w:rsid w:val="0040619B"/>
    <w:rsid w:val="004077BF"/>
    <w:rsid w:val="00407C07"/>
    <w:rsid w:val="00407E0A"/>
    <w:rsid w:val="00412424"/>
    <w:rsid w:val="00412EAE"/>
    <w:rsid w:val="00413B1F"/>
    <w:rsid w:val="00413EEF"/>
    <w:rsid w:val="00415369"/>
    <w:rsid w:val="00416840"/>
    <w:rsid w:val="0041765C"/>
    <w:rsid w:val="00420CC6"/>
    <w:rsid w:val="00421544"/>
    <w:rsid w:val="00421B8A"/>
    <w:rsid w:val="00422BBE"/>
    <w:rsid w:val="00423308"/>
    <w:rsid w:val="004259CC"/>
    <w:rsid w:val="00430496"/>
    <w:rsid w:val="00430A33"/>
    <w:rsid w:val="0043167F"/>
    <w:rsid w:val="004318C4"/>
    <w:rsid w:val="0043343E"/>
    <w:rsid w:val="00437758"/>
    <w:rsid w:val="00440297"/>
    <w:rsid w:val="00440FA3"/>
    <w:rsid w:val="00441205"/>
    <w:rsid w:val="00442002"/>
    <w:rsid w:val="00446664"/>
    <w:rsid w:val="00447B87"/>
    <w:rsid w:val="00450301"/>
    <w:rsid w:val="00451A39"/>
    <w:rsid w:val="004533E9"/>
    <w:rsid w:val="004539AE"/>
    <w:rsid w:val="00454A3E"/>
    <w:rsid w:val="00455236"/>
    <w:rsid w:val="00460978"/>
    <w:rsid w:val="00461257"/>
    <w:rsid w:val="00461652"/>
    <w:rsid w:val="00466856"/>
    <w:rsid w:val="00471766"/>
    <w:rsid w:val="004737BD"/>
    <w:rsid w:val="00473E7F"/>
    <w:rsid w:val="00476347"/>
    <w:rsid w:val="00476386"/>
    <w:rsid w:val="00481B33"/>
    <w:rsid w:val="00482F22"/>
    <w:rsid w:val="00483F6B"/>
    <w:rsid w:val="0048578E"/>
    <w:rsid w:val="0048741A"/>
    <w:rsid w:val="0049400B"/>
    <w:rsid w:val="00494891"/>
    <w:rsid w:val="0049591B"/>
    <w:rsid w:val="00496599"/>
    <w:rsid w:val="004967AE"/>
    <w:rsid w:val="00497AD3"/>
    <w:rsid w:val="004A2D45"/>
    <w:rsid w:val="004A2F11"/>
    <w:rsid w:val="004A429E"/>
    <w:rsid w:val="004A4DDA"/>
    <w:rsid w:val="004A6699"/>
    <w:rsid w:val="004A738A"/>
    <w:rsid w:val="004A7D31"/>
    <w:rsid w:val="004A7E98"/>
    <w:rsid w:val="004B0092"/>
    <w:rsid w:val="004B0AB3"/>
    <w:rsid w:val="004B11AB"/>
    <w:rsid w:val="004B3523"/>
    <w:rsid w:val="004B3CE7"/>
    <w:rsid w:val="004B601D"/>
    <w:rsid w:val="004B601F"/>
    <w:rsid w:val="004B6D80"/>
    <w:rsid w:val="004C27ED"/>
    <w:rsid w:val="004C4264"/>
    <w:rsid w:val="004C4550"/>
    <w:rsid w:val="004C5998"/>
    <w:rsid w:val="004C5D82"/>
    <w:rsid w:val="004C6371"/>
    <w:rsid w:val="004C66B4"/>
    <w:rsid w:val="004C7165"/>
    <w:rsid w:val="004C73F5"/>
    <w:rsid w:val="004C7E1F"/>
    <w:rsid w:val="004D393D"/>
    <w:rsid w:val="004D4917"/>
    <w:rsid w:val="004D4BF6"/>
    <w:rsid w:val="004D4FE5"/>
    <w:rsid w:val="004E0586"/>
    <w:rsid w:val="004E07AB"/>
    <w:rsid w:val="004E1693"/>
    <w:rsid w:val="004E1711"/>
    <w:rsid w:val="004E194A"/>
    <w:rsid w:val="004E1F7C"/>
    <w:rsid w:val="004E2626"/>
    <w:rsid w:val="004E3680"/>
    <w:rsid w:val="004E57FE"/>
    <w:rsid w:val="004F075F"/>
    <w:rsid w:val="004F1264"/>
    <w:rsid w:val="004F1356"/>
    <w:rsid w:val="004F359F"/>
    <w:rsid w:val="004F6757"/>
    <w:rsid w:val="004F72FD"/>
    <w:rsid w:val="00501F3E"/>
    <w:rsid w:val="005022E7"/>
    <w:rsid w:val="00504125"/>
    <w:rsid w:val="00504D33"/>
    <w:rsid w:val="00505F9C"/>
    <w:rsid w:val="005065DB"/>
    <w:rsid w:val="00506CDA"/>
    <w:rsid w:val="0051105B"/>
    <w:rsid w:val="005131BB"/>
    <w:rsid w:val="005141AD"/>
    <w:rsid w:val="0051488B"/>
    <w:rsid w:val="00516C5B"/>
    <w:rsid w:val="0052132D"/>
    <w:rsid w:val="00522BE0"/>
    <w:rsid w:val="00523804"/>
    <w:rsid w:val="00524355"/>
    <w:rsid w:val="00532822"/>
    <w:rsid w:val="00533179"/>
    <w:rsid w:val="00533D35"/>
    <w:rsid w:val="00534478"/>
    <w:rsid w:val="005355A8"/>
    <w:rsid w:val="0053612B"/>
    <w:rsid w:val="0054168A"/>
    <w:rsid w:val="00541A50"/>
    <w:rsid w:val="00543108"/>
    <w:rsid w:val="00543BD6"/>
    <w:rsid w:val="005508B4"/>
    <w:rsid w:val="00551FF5"/>
    <w:rsid w:val="00552388"/>
    <w:rsid w:val="005530BE"/>
    <w:rsid w:val="00553A1D"/>
    <w:rsid w:val="00554114"/>
    <w:rsid w:val="005543CB"/>
    <w:rsid w:val="00555E1E"/>
    <w:rsid w:val="0056053B"/>
    <w:rsid w:val="00563995"/>
    <w:rsid w:val="00566BF1"/>
    <w:rsid w:val="005675E0"/>
    <w:rsid w:val="0056796D"/>
    <w:rsid w:val="005719B2"/>
    <w:rsid w:val="0057281F"/>
    <w:rsid w:val="00575E68"/>
    <w:rsid w:val="0057650F"/>
    <w:rsid w:val="0057749E"/>
    <w:rsid w:val="005777D6"/>
    <w:rsid w:val="00577F97"/>
    <w:rsid w:val="005806E6"/>
    <w:rsid w:val="00580B62"/>
    <w:rsid w:val="00581785"/>
    <w:rsid w:val="00584119"/>
    <w:rsid w:val="00587253"/>
    <w:rsid w:val="00590AA7"/>
    <w:rsid w:val="00591867"/>
    <w:rsid w:val="0059252A"/>
    <w:rsid w:val="005947C7"/>
    <w:rsid w:val="005954EE"/>
    <w:rsid w:val="005963D6"/>
    <w:rsid w:val="00596BA4"/>
    <w:rsid w:val="00597844"/>
    <w:rsid w:val="00597EED"/>
    <w:rsid w:val="00597F09"/>
    <w:rsid w:val="005A0F42"/>
    <w:rsid w:val="005A11C9"/>
    <w:rsid w:val="005A5A69"/>
    <w:rsid w:val="005A5D5E"/>
    <w:rsid w:val="005A63CB"/>
    <w:rsid w:val="005A7ABA"/>
    <w:rsid w:val="005B1C07"/>
    <w:rsid w:val="005B3FC2"/>
    <w:rsid w:val="005B49F7"/>
    <w:rsid w:val="005C0F49"/>
    <w:rsid w:val="005C2246"/>
    <w:rsid w:val="005C2BB9"/>
    <w:rsid w:val="005C2F36"/>
    <w:rsid w:val="005C3AC8"/>
    <w:rsid w:val="005C6A5D"/>
    <w:rsid w:val="005D14F9"/>
    <w:rsid w:val="005D1DC8"/>
    <w:rsid w:val="005D2792"/>
    <w:rsid w:val="005D2F31"/>
    <w:rsid w:val="005D3679"/>
    <w:rsid w:val="005D36FB"/>
    <w:rsid w:val="005D3E85"/>
    <w:rsid w:val="005D45F6"/>
    <w:rsid w:val="005D5067"/>
    <w:rsid w:val="005D7CE5"/>
    <w:rsid w:val="005D7F27"/>
    <w:rsid w:val="005E009F"/>
    <w:rsid w:val="005E0F4E"/>
    <w:rsid w:val="005E1907"/>
    <w:rsid w:val="005E282C"/>
    <w:rsid w:val="005E33D1"/>
    <w:rsid w:val="005E3506"/>
    <w:rsid w:val="005E4DE3"/>
    <w:rsid w:val="005E59D8"/>
    <w:rsid w:val="005E6553"/>
    <w:rsid w:val="005E7E10"/>
    <w:rsid w:val="005F0252"/>
    <w:rsid w:val="005F03C1"/>
    <w:rsid w:val="005F1FEF"/>
    <w:rsid w:val="005F36BC"/>
    <w:rsid w:val="005F38A9"/>
    <w:rsid w:val="005F3A68"/>
    <w:rsid w:val="005F43CB"/>
    <w:rsid w:val="005F5CAF"/>
    <w:rsid w:val="005F6058"/>
    <w:rsid w:val="00600A18"/>
    <w:rsid w:val="006014E4"/>
    <w:rsid w:val="006022A1"/>
    <w:rsid w:val="00603DF9"/>
    <w:rsid w:val="006042F8"/>
    <w:rsid w:val="006052BB"/>
    <w:rsid w:val="00605A95"/>
    <w:rsid w:val="006066E6"/>
    <w:rsid w:val="00607728"/>
    <w:rsid w:val="006136EA"/>
    <w:rsid w:val="006137CC"/>
    <w:rsid w:val="00613A25"/>
    <w:rsid w:val="006140F3"/>
    <w:rsid w:val="00615106"/>
    <w:rsid w:val="00615730"/>
    <w:rsid w:val="006168C8"/>
    <w:rsid w:val="00616D7E"/>
    <w:rsid w:val="00617F25"/>
    <w:rsid w:val="00621598"/>
    <w:rsid w:val="00621893"/>
    <w:rsid w:val="006219AA"/>
    <w:rsid w:val="00621FEF"/>
    <w:rsid w:val="0062208E"/>
    <w:rsid w:val="006224A6"/>
    <w:rsid w:val="006224F8"/>
    <w:rsid w:val="00624CB2"/>
    <w:rsid w:val="006252FB"/>
    <w:rsid w:val="006272FB"/>
    <w:rsid w:val="00627479"/>
    <w:rsid w:val="00631003"/>
    <w:rsid w:val="00632523"/>
    <w:rsid w:val="006330A8"/>
    <w:rsid w:val="00634DA3"/>
    <w:rsid w:val="0063701B"/>
    <w:rsid w:val="006415A0"/>
    <w:rsid w:val="006420DF"/>
    <w:rsid w:val="00642268"/>
    <w:rsid w:val="0064305B"/>
    <w:rsid w:val="00643A86"/>
    <w:rsid w:val="006449EB"/>
    <w:rsid w:val="00645C2B"/>
    <w:rsid w:val="00647097"/>
    <w:rsid w:val="00650084"/>
    <w:rsid w:val="0065036E"/>
    <w:rsid w:val="00651188"/>
    <w:rsid w:val="006518C7"/>
    <w:rsid w:val="00651F20"/>
    <w:rsid w:val="00654F19"/>
    <w:rsid w:val="006557BC"/>
    <w:rsid w:val="00662BD6"/>
    <w:rsid w:val="006645C0"/>
    <w:rsid w:val="00665314"/>
    <w:rsid w:val="006661EB"/>
    <w:rsid w:val="006665F0"/>
    <w:rsid w:val="006666BF"/>
    <w:rsid w:val="006669FB"/>
    <w:rsid w:val="00670188"/>
    <w:rsid w:val="00670B8B"/>
    <w:rsid w:val="00670D0E"/>
    <w:rsid w:val="00670FB4"/>
    <w:rsid w:val="006719E0"/>
    <w:rsid w:val="0067231B"/>
    <w:rsid w:val="00672495"/>
    <w:rsid w:val="006742BC"/>
    <w:rsid w:val="006767AE"/>
    <w:rsid w:val="00677726"/>
    <w:rsid w:val="0068212B"/>
    <w:rsid w:val="00683651"/>
    <w:rsid w:val="0068457A"/>
    <w:rsid w:val="00684633"/>
    <w:rsid w:val="00687F98"/>
    <w:rsid w:val="0069095F"/>
    <w:rsid w:val="00692CFE"/>
    <w:rsid w:val="00693151"/>
    <w:rsid w:val="006944E5"/>
    <w:rsid w:val="00695450"/>
    <w:rsid w:val="0069585E"/>
    <w:rsid w:val="00696730"/>
    <w:rsid w:val="00697AC4"/>
    <w:rsid w:val="00697D08"/>
    <w:rsid w:val="006A11E4"/>
    <w:rsid w:val="006A15BD"/>
    <w:rsid w:val="006A2DF9"/>
    <w:rsid w:val="006A3C72"/>
    <w:rsid w:val="006A48D1"/>
    <w:rsid w:val="006B2A6E"/>
    <w:rsid w:val="006B40D9"/>
    <w:rsid w:val="006B54C2"/>
    <w:rsid w:val="006C03CB"/>
    <w:rsid w:val="006C12E8"/>
    <w:rsid w:val="006C38A2"/>
    <w:rsid w:val="006C6984"/>
    <w:rsid w:val="006D1BC8"/>
    <w:rsid w:val="006D1D19"/>
    <w:rsid w:val="006D20ED"/>
    <w:rsid w:val="006D352C"/>
    <w:rsid w:val="006D554A"/>
    <w:rsid w:val="006D5CA3"/>
    <w:rsid w:val="006D7E84"/>
    <w:rsid w:val="006D7F57"/>
    <w:rsid w:val="006E2173"/>
    <w:rsid w:val="006E341B"/>
    <w:rsid w:val="006E646E"/>
    <w:rsid w:val="006E6FFC"/>
    <w:rsid w:val="006E7A0A"/>
    <w:rsid w:val="006E7AE0"/>
    <w:rsid w:val="006F1214"/>
    <w:rsid w:val="006F4942"/>
    <w:rsid w:val="006F7F0F"/>
    <w:rsid w:val="0070110B"/>
    <w:rsid w:val="0070176D"/>
    <w:rsid w:val="007037DC"/>
    <w:rsid w:val="00704114"/>
    <w:rsid w:val="00704E83"/>
    <w:rsid w:val="007053FC"/>
    <w:rsid w:val="00705551"/>
    <w:rsid w:val="00705577"/>
    <w:rsid w:val="0070744A"/>
    <w:rsid w:val="00713E88"/>
    <w:rsid w:val="007142F7"/>
    <w:rsid w:val="007148EE"/>
    <w:rsid w:val="00715404"/>
    <w:rsid w:val="00716325"/>
    <w:rsid w:val="00716B4B"/>
    <w:rsid w:val="00716F5B"/>
    <w:rsid w:val="00720008"/>
    <w:rsid w:val="007204ED"/>
    <w:rsid w:val="00720636"/>
    <w:rsid w:val="007217EE"/>
    <w:rsid w:val="00722B4B"/>
    <w:rsid w:val="0072418B"/>
    <w:rsid w:val="0072583F"/>
    <w:rsid w:val="007258B1"/>
    <w:rsid w:val="00730958"/>
    <w:rsid w:val="00731AD3"/>
    <w:rsid w:val="0073342D"/>
    <w:rsid w:val="00733928"/>
    <w:rsid w:val="0073412E"/>
    <w:rsid w:val="00735664"/>
    <w:rsid w:val="007360B7"/>
    <w:rsid w:val="00736D18"/>
    <w:rsid w:val="00736F65"/>
    <w:rsid w:val="007401B9"/>
    <w:rsid w:val="00741951"/>
    <w:rsid w:val="00741C80"/>
    <w:rsid w:val="00742F01"/>
    <w:rsid w:val="00744FE2"/>
    <w:rsid w:val="00745BD0"/>
    <w:rsid w:val="007463D2"/>
    <w:rsid w:val="0075081F"/>
    <w:rsid w:val="007518A5"/>
    <w:rsid w:val="007540EB"/>
    <w:rsid w:val="0075545B"/>
    <w:rsid w:val="00756582"/>
    <w:rsid w:val="00756C92"/>
    <w:rsid w:val="007579EB"/>
    <w:rsid w:val="00757ADF"/>
    <w:rsid w:val="00757C10"/>
    <w:rsid w:val="00762486"/>
    <w:rsid w:val="007635E4"/>
    <w:rsid w:val="00764356"/>
    <w:rsid w:val="007650FB"/>
    <w:rsid w:val="00766AA0"/>
    <w:rsid w:val="007670E1"/>
    <w:rsid w:val="0076787C"/>
    <w:rsid w:val="00767A85"/>
    <w:rsid w:val="0077141A"/>
    <w:rsid w:val="00773434"/>
    <w:rsid w:val="00773BEC"/>
    <w:rsid w:val="0077496A"/>
    <w:rsid w:val="00775CB8"/>
    <w:rsid w:val="007779F2"/>
    <w:rsid w:val="00782B02"/>
    <w:rsid w:val="00785842"/>
    <w:rsid w:val="007859A9"/>
    <w:rsid w:val="00785BF6"/>
    <w:rsid w:val="00786466"/>
    <w:rsid w:val="007876C3"/>
    <w:rsid w:val="007914EE"/>
    <w:rsid w:val="007918D5"/>
    <w:rsid w:val="0079551C"/>
    <w:rsid w:val="00796457"/>
    <w:rsid w:val="00797130"/>
    <w:rsid w:val="0079783F"/>
    <w:rsid w:val="007A6899"/>
    <w:rsid w:val="007B07A9"/>
    <w:rsid w:val="007B25DB"/>
    <w:rsid w:val="007B2677"/>
    <w:rsid w:val="007B3185"/>
    <w:rsid w:val="007B485B"/>
    <w:rsid w:val="007B6814"/>
    <w:rsid w:val="007C0BE4"/>
    <w:rsid w:val="007C2D89"/>
    <w:rsid w:val="007C390A"/>
    <w:rsid w:val="007C5463"/>
    <w:rsid w:val="007C5752"/>
    <w:rsid w:val="007C6A60"/>
    <w:rsid w:val="007C7209"/>
    <w:rsid w:val="007D07BF"/>
    <w:rsid w:val="007D3958"/>
    <w:rsid w:val="007D68E6"/>
    <w:rsid w:val="007E0831"/>
    <w:rsid w:val="007E5E1C"/>
    <w:rsid w:val="007E6181"/>
    <w:rsid w:val="007E63EA"/>
    <w:rsid w:val="007E6565"/>
    <w:rsid w:val="007E6704"/>
    <w:rsid w:val="007E6FF1"/>
    <w:rsid w:val="007E7EC1"/>
    <w:rsid w:val="007F0CC8"/>
    <w:rsid w:val="007F3B18"/>
    <w:rsid w:val="007F5255"/>
    <w:rsid w:val="007F631C"/>
    <w:rsid w:val="00800639"/>
    <w:rsid w:val="00800E09"/>
    <w:rsid w:val="0080251B"/>
    <w:rsid w:val="00802B56"/>
    <w:rsid w:val="008044DC"/>
    <w:rsid w:val="00804530"/>
    <w:rsid w:val="008046CC"/>
    <w:rsid w:val="00804ECB"/>
    <w:rsid w:val="00805436"/>
    <w:rsid w:val="00805556"/>
    <w:rsid w:val="00805B06"/>
    <w:rsid w:val="00806579"/>
    <w:rsid w:val="008101FB"/>
    <w:rsid w:val="0081330C"/>
    <w:rsid w:val="00813FD1"/>
    <w:rsid w:val="008153D3"/>
    <w:rsid w:val="00817C58"/>
    <w:rsid w:val="0082029F"/>
    <w:rsid w:val="008213F8"/>
    <w:rsid w:val="00821865"/>
    <w:rsid w:val="0082268F"/>
    <w:rsid w:val="00824175"/>
    <w:rsid w:val="00827219"/>
    <w:rsid w:val="008272F2"/>
    <w:rsid w:val="0082763D"/>
    <w:rsid w:val="00827D5F"/>
    <w:rsid w:val="008309A4"/>
    <w:rsid w:val="00831945"/>
    <w:rsid w:val="008320F8"/>
    <w:rsid w:val="00832C77"/>
    <w:rsid w:val="00832E50"/>
    <w:rsid w:val="00834D06"/>
    <w:rsid w:val="00835232"/>
    <w:rsid w:val="00836345"/>
    <w:rsid w:val="00837481"/>
    <w:rsid w:val="00840246"/>
    <w:rsid w:val="00840E94"/>
    <w:rsid w:val="00842203"/>
    <w:rsid w:val="008422DA"/>
    <w:rsid w:val="00845356"/>
    <w:rsid w:val="00845389"/>
    <w:rsid w:val="008453BD"/>
    <w:rsid w:val="00845E95"/>
    <w:rsid w:val="00846FA5"/>
    <w:rsid w:val="008523FF"/>
    <w:rsid w:val="00853427"/>
    <w:rsid w:val="00860289"/>
    <w:rsid w:val="008625E5"/>
    <w:rsid w:val="0086339F"/>
    <w:rsid w:val="00863B12"/>
    <w:rsid w:val="00863C05"/>
    <w:rsid w:val="00864225"/>
    <w:rsid w:val="008648AF"/>
    <w:rsid w:val="008669AA"/>
    <w:rsid w:val="00866FC1"/>
    <w:rsid w:val="00870F2A"/>
    <w:rsid w:val="00871402"/>
    <w:rsid w:val="008731F6"/>
    <w:rsid w:val="00873B1F"/>
    <w:rsid w:val="00874D72"/>
    <w:rsid w:val="00875886"/>
    <w:rsid w:val="00884013"/>
    <w:rsid w:val="0088571F"/>
    <w:rsid w:val="00891FD9"/>
    <w:rsid w:val="00892D30"/>
    <w:rsid w:val="00892D9D"/>
    <w:rsid w:val="008930B1"/>
    <w:rsid w:val="0089416B"/>
    <w:rsid w:val="00894818"/>
    <w:rsid w:val="00894C9C"/>
    <w:rsid w:val="008951C0"/>
    <w:rsid w:val="008966D0"/>
    <w:rsid w:val="008A05B0"/>
    <w:rsid w:val="008A28B4"/>
    <w:rsid w:val="008A64D5"/>
    <w:rsid w:val="008A6E53"/>
    <w:rsid w:val="008A7087"/>
    <w:rsid w:val="008A7D98"/>
    <w:rsid w:val="008B0F50"/>
    <w:rsid w:val="008B17FB"/>
    <w:rsid w:val="008B1BB3"/>
    <w:rsid w:val="008B2406"/>
    <w:rsid w:val="008B2C18"/>
    <w:rsid w:val="008B303A"/>
    <w:rsid w:val="008B32CB"/>
    <w:rsid w:val="008B4029"/>
    <w:rsid w:val="008B40A0"/>
    <w:rsid w:val="008B52BB"/>
    <w:rsid w:val="008B6A9E"/>
    <w:rsid w:val="008B7A59"/>
    <w:rsid w:val="008C0E4F"/>
    <w:rsid w:val="008C139D"/>
    <w:rsid w:val="008C271F"/>
    <w:rsid w:val="008C348B"/>
    <w:rsid w:val="008C4904"/>
    <w:rsid w:val="008C4F02"/>
    <w:rsid w:val="008C5252"/>
    <w:rsid w:val="008C6CF0"/>
    <w:rsid w:val="008C78DF"/>
    <w:rsid w:val="008D03F3"/>
    <w:rsid w:val="008D35DA"/>
    <w:rsid w:val="008D4A79"/>
    <w:rsid w:val="008D4FCB"/>
    <w:rsid w:val="008D659F"/>
    <w:rsid w:val="008D6F03"/>
    <w:rsid w:val="008D7DE3"/>
    <w:rsid w:val="008E009D"/>
    <w:rsid w:val="008E2765"/>
    <w:rsid w:val="008E3C1F"/>
    <w:rsid w:val="008E48A8"/>
    <w:rsid w:val="008E6226"/>
    <w:rsid w:val="008E6B08"/>
    <w:rsid w:val="008E6EE9"/>
    <w:rsid w:val="008E7F93"/>
    <w:rsid w:val="008F0D66"/>
    <w:rsid w:val="008F3597"/>
    <w:rsid w:val="008F39CF"/>
    <w:rsid w:val="008F487D"/>
    <w:rsid w:val="008F5209"/>
    <w:rsid w:val="008F53DD"/>
    <w:rsid w:val="008F6628"/>
    <w:rsid w:val="00900D07"/>
    <w:rsid w:val="009034A1"/>
    <w:rsid w:val="00903EF1"/>
    <w:rsid w:val="00904334"/>
    <w:rsid w:val="00906FEE"/>
    <w:rsid w:val="00907DB4"/>
    <w:rsid w:val="009110F0"/>
    <w:rsid w:val="0091171A"/>
    <w:rsid w:val="00912C46"/>
    <w:rsid w:val="00915175"/>
    <w:rsid w:val="00915E86"/>
    <w:rsid w:val="00916050"/>
    <w:rsid w:val="00916A76"/>
    <w:rsid w:val="00921468"/>
    <w:rsid w:val="0092205C"/>
    <w:rsid w:val="009223B6"/>
    <w:rsid w:val="00924E21"/>
    <w:rsid w:val="009268A6"/>
    <w:rsid w:val="0092727D"/>
    <w:rsid w:val="00932363"/>
    <w:rsid w:val="00934DD4"/>
    <w:rsid w:val="0093532F"/>
    <w:rsid w:val="009354BE"/>
    <w:rsid w:val="009359E5"/>
    <w:rsid w:val="00935E84"/>
    <w:rsid w:val="00940370"/>
    <w:rsid w:val="00940C84"/>
    <w:rsid w:val="00942463"/>
    <w:rsid w:val="0094308C"/>
    <w:rsid w:val="00943743"/>
    <w:rsid w:val="00945D88"/>
    <w:rsid w:val="00950D40"/>
    <w:rsid w:val="0095683C"/>
    <w:rsid w:val="00956F5C"/>
    <w:rsid w:val="0096052A"/>
    <w:rsid w:val="00960602"/>
    <w:rsid w:val="00962342"/>
    <w:rsid w:val="00962C03"/>
    <w:rsid w:val="00963073"/>
    <w:rsid w:val="00963E2E"/>
    <w:rsid w:val="0096618F"/>
    <w:rsid w:val="009671E0"/>
    <w:rsid w:val="00971AFF"/>
    <w:rsid w:val="00973999"/>
    <w:rsid w:val="00973DAC"/>
    <w:rsid w:val="00973FFB"/>
    <w:rsid w:val="009779FC"/>
    <w:rsid w:val="00981118"/>
    <w:rsid w:val="0098222E"/>
    <w:rsid w:val="009828BF"/>
    <w:rsid w:val="009841AA"/>
    <w:rsid w:val="00984476"/>
    <w:rsid w:val="00987DB1"/>
    <w:rsid w:val="00991282"/>
    <w:rsid w:val="00991C2B"/>
    <w:rsid w:val="00991D4C"/>
    <w:rsid w:val="00993070"/>
    <w:rsid w:val="00993795"/>
    <w:rsid w:val="00994EA2"/>
    <w:rsid w:val="00995133"/>
    <w:rsid w:val="00997C3B"/>
    <w:rsid w:val="009A0C07"/>
    <w:rsid w:val="009A1127"/>
    <w:rsid w:val="009A15AB"/>
    <w:rsid w:val="009A2EE3"/>
    <w:rsid w:val="009A351B"/>
    <w:rsid w:val="009A42B4"/>
    <w:rsid w:val="009A6ADA"/>
    <w:rsid w:val="009A7DD2"/>
    <w:rsid w:val="009B0CA4"/>
    <w:rsid w:val="009B213E"/>
    <w:rsid w:val="009B34E5"/>
    <w:rsid w:val="009B5854"/>
    <w:rsid w:val="009B659F"/>
    <w:rsid w:val="009B6C41"/>
    <w:rsid w:val="009B6CCB"/>
    <w:rsid w:val="009B7606"/>
    <w:rsid w:val="009C3F76"/>
    <w:rsid w:val="009C5028"/>
    <w:rsid w:val="009C6013"/>
    <w:rsid w:val="009C6317"/>
    <w:rsid w:val="009C753B"/>
    <w:rsid w:val="009C764E"/>
    <w:rsid w:val="009C78AF"/>
    <w:rsid w:val="009C79BA"/>
    <w:rsid w:val="009D1A1A"/>
    <w:rsid w:val="009D308F"/>
    <w:rsid w:val="009D508D"/>
    <w:rsid w:val="009D5665"/>
    <w:rsid w:val="009D7558"/>
    <w:rsid w:val="009E126F"/>
    <w:rsid w:val="009E2D10"/>
    <w:rsid w:val="009E554B"/>
    <w:rsid w:val="009E5800"/>
    <w:rsid w:val="009E5BA3"/>
    <w:rsid w:val="009E73E6"/>
    <w:rsid w:val="009F0BEA"/>
    <w:rsid w:val="009F0C70"/>
    <w:rsid w:val="009F1751"/>
    <w:rsid w:val="009F182B"/>
    <w:rsid w:val="009F2D74"/>
    <w:rsid w:val="009F50EF"/>
    <w:rsid w:val="009F6F7A"/>
    <w:rsid w:val="009F7EDB"/>
    <w:rsid w:val="00A00306"/>
    <w:rsid w:val="00A028BC"/>
    <w:rsid w:val="00A02BB4"/>
    <w:rsid w:val="00A03968"/>
    <w:rsid w:val="00A03BEF"/>
    <w:rsid w:val="00A04E30"/>
    <w:rsid w:val="00A113E3"/>
    <w:rsid w:val="00A11EEB"/>
    <w:rsid w:val="00A12018"/>
    <w:rsid w:val="00A13B3B"/>
    <w:rsid w:val="00A13DEE"/>
    <w:rsid w:val="00A1456B"/>
    <w:rsid w:val="00A14583"/>
    <w:rsid w:val="00A145E0"/>
    <w:rsid w:val="00A146AA"/>
    <w:rsid w:val="00A15B3B"/>
    <w:rsid w:val="00A15DF7"/>
    <w:rsid w:val="00A20286"/>
    <w:rsid w:val="00A2279A"/>
    <w:rsid w:val="00A25A42"/>
    <w:rsid w:val="00A3264B"/>
    <w:rsid w:val="00A34FB9"/>
    <w:rsid w:val="00A35E7E"/>
    <w:rsid w:val="00A37C49"/>
    <w:rsid w:val="00A40515"/>
    <w:rsid w:val="00A40764"/>
    <w:rsid w:val="00A4259A"/>
    <w:rsid w:val="00A42B65"/>
    <w:rsid w:val="00A434E3"/>
    <w:rsid w:val="00A439D1"/>
    <w:rsid w:val="00A50DCB"/>
    <w:rsid w:val="00A50DCD"/>
    <w:rsid w:val="00A518B8"/>
    <w:rsid w:val="00A53AF1"/>
    <w:rsid w:val="00A541DC"/>
    <w:rsid w:val="00A542CD"/>
    <w:rsid w:val="00A54663"/>
    <w:rsid w:val="00A54D4A"/>
    <w:rsid w:val="00A54F41"/>
    <w:rsid w:val="00A55BFC"/>
    <w:rsid w:val="00A568FA"/>
    <w:rsid w:val="00A56D23"/>
    <w:rsid w:val="00A57320"/>
    <w:rsid w:val="00A60C48"/>
    <w:rsid w:val="00A66F7D"/>
    <w:rsid w:val="00A67594"/>
    <w:rsid w:val="00A71892"/>
    <w:rsid w:val="00A72452"/>
    <w:rsid w:val="00A759D1"/>
    <w:rsid w:val="00A75AEC"/>
    <w:rsid w:val="00A76421"/>
    <w:rsid w:val="00A82E5C"/>
    <w:rsid w:val="00A867C9"/>
    <w:rsid w:val="00A86F5D"/>
    <w:rsid w:val="00A8732A"/>
    <w:rsid w:val="00A878AB"/>
    <w:rsid w:val="00A917F3"/>
    <w:rsid w:val="00A92ED0"/>
    <w:rsid w:val="00A95417"/>
    <w:rsid w:val="00A96E70"/>
    <w:rsid w:val="00AA0DC8"/>
    <w:rsid w:val="00AA2C90"/>
    <w:rsid w:val="00AA2E46"/>
    <w:rsid w:val="00AA3F89"/>
    <w:rsid w:val="00AA4817"/>
    <w:rsid w:val="00AA54D5"/>
    <w:rsid w:val="00AA57B1"/>
    <w:rsid w:val="00AA5FE8"/>
    <w:rsid w:val="00AA7D9E"/>
    <w:rsid w:val="00AB127E"/>
    <w:rsid w:val="00AB28D6"/>
    <w:rsid w:val="00AB311D"/>
    <w:rsid w:val="00AB4F15"/>
    <w:rsid w:val="00AB50A1"/>
    <w:rsid w:val="00AB5E21"/>
    <w:rsid w:val="00AB6A34"/>
    <w:rsid w:val="00AB6A3E"/>
    <w:rsid w:val="00AB6D71"/>
    <w:rsid w:val="00AB702A"/>
    <w:rsid w:val="00AB7DDE"/>
    <w:rsid w:val="00AC1F7E"/>
    <w:rsid w:val="00AC3D27"/>
    <w:rsid w:val="00AC724A"/>
    <w:rsid w:val="00AC7568"/>
    <w:rsid w:val="00AC78D6"/>
    <w:rsid w:val="00AC7DD1"/>
    <w:rsid w:val="00AD129F"/>
    <w:rsid w:val="00AD1B17"/>
    <w:rsid w:val="00AD1DD2"/>
    <w:rsid w:val="00AD274B"/>
    <w:rsid w:val="00AD2BF3"/>
    <w:rsid w:val="00AD5839"/>
    <w:rsid w:val="00AD5C15"/>
    <w:rsid w:val="00AD7344"/>
    <w:rsid w:val="00AD7F6D"/>
    <w:rsid w:val="00AE188B"/>
    <w:rsid w:val="00AE39CF"/>
    <w:rsid w:val="00AE3B1F"/>
    <w:rsid w:val="00AE4500"/>
    <w:rsid w:val="00AE4897"/>
    <w:rsid w:val="00AE4952"/>
    <w:rsid w:val="00AE53F6"/>
    <w:rsid w:val="00AE7486"/>
    <w:rsid w:val="00AE7A78"/>
    <w:rsid w:val="00AE7C7E"/>
    <w:rsid w:val="00AF01EC"/>
    <w:rsid w:val="00AF1BAB"/>
    <w:rsid w:val="00AF2AEB"/>
    <w:rsid w:val="00AF3452"/>
    <w:rsid w:val="00AF3C42"/>
    <w:rsid w:val="00AF4622"/>
    <w:rsid w:val="00AF6B68"/>
    <w:rsid w:val="00AF6E59"/>
    <w:rsid w:val="00B01ED6"/>
    <w:rsid w:val="00B02639"/>
    <w:rsid w:val="00B030FF"/>
    <w:rsid w:val="00B03537"/>
    <w:rsid w:val="00B05FB6"/>
    <w:rsid w:val="00B07CDE"/>
    <w:rsid w:val="00B10B80"/>
    <w:rsid w:val="00B10BEB"/>
    <w:rsid w:val="00B114B9"/>
    <w:rsid w:val="00B130C1"/>
    <w:rsid w:val="00B13716"/>
    <w:rsid w:val="00B13ED4"/>
    <w:rsid w:val="00B15084"/>
    <w:rsid w:val="00B1613F"/>
    <w:rsid w:val="00B2018E"/>
    <w:rsid w:val="00B232AA"/>
    <w:rsid w:val="00B2384E"/>
    <w:rsid w:val="00B23E10"/>
    <w:rsid w:val="00B25784"/>
    <w:rsid w:val="00B25F81"/>
    <w:rsid w:val="00B26172"/>
    <w:rsid w:val="00B276BA"/>
    <w:rsid w:val="00B278E5"/>
    <w:rsid w:val="00B27FA7"/>
    <w:rsid w:val="00B30E3D"/>
    <w:rsid w:val="00B318B1"/>
    <w:rsid w:val="00B322D0"/>
    <w:rsid w:val="00B344EA"/>
    <w:rsid w:val="00B34F2B"/>
    <w:rsid w:val="00B35C73"/>
    <w:rsid w:val="00B36EE8"/>
    <w:rsid w:val="00B4180C"/>
    <w:rsid w:val="00B43264"/>
    <w:rsid w:val="00B43BE6"/>
    <w:rsid w:val="00B441BD"/>
    <w:rsid w:val="00B447CB"/>
    <w:rsid w:val="00B45A97"/>
    <w:rsid w:val="00B4675A"/>
    <w:rsid w:val="00B5147F"/>
    <w:rsid w:val="00B52911"/>
    <w:rsid w:val="00B60975"/>
    <w:rsid w:val="00B629BA"/>
    <w:rsid w:val="00B62B62"/>
    <w:rsid w:val="00B62DE8"/>
    <w:rsid w:val="00B633E1"/>
    <w:rsid w:val="00B65A8A"/>
    <w:rsid w:val="00B663FE"/>
    <w:rsid w:val="00B70C20"/>
    <w:rsid w:val="00B71036"/>
    <w:rsid w:val="00B72E2C"/>
    <w:rsid w:val="00B76828"/>
    <w:rsid w:val="00B77676"/>
    <w:rsid w:val="00B7797E"/>
    <w:rsid w:val="00B8090F"/>
    <w:rsid w:val="00B817C4"/>
    <w:rsid w:val="00B8210E"/>
    <w:rsid w:val="00B82EB0"/>
    <w:rsid w:val="00B83173"/>
    <w:rsid w:val="00B83D52"/>
    <w:rsid w:val="00B8481E"/>
    <w:rsid w:val="00B84880"/>
    <w:rsid w:val="00B852DD"/>
    <w:rsid w:val="00B870F1"/>
    <w:rsid w:val="00B87A48"/>
    <w:rsid w:val="00B90169"/>
    <w:rsid w:val="00B904D9"/>
    <w:rsid w:val="00B907C2"/>
    <w:rsid w:val="00B9245E"/>
    <w:rsid w:val="00B92A12"/>
    <w:rsid w:val="00B9368E"/>
    <w:rsid w:val="00B941B0"/>
    <w:rsid w:val="00B95B03"/>
    <w:rsid w:val="00B97BA6"/>
    <w:rsid w:val="00BA0053"/>
    <w:rsid w:val="00BA00F3"/>
    <w:rsid w:val="00BA0E43"/>
    <w:rsid w:val="00BA4167"/>
    <w:rsid w:val="00BA4A7B"/>
    <w:rsid w:val="00BA64B7"/>
    <w:rsid w:val="00BA669C"/>
    <w:rsid w:val="00BA6EA7"/>
    <w:rsid w:val="00BA7790"/>
    <w:rsid w:val="00BB116B"/>
    <w:rsid w:val="00BB1F81"/>
    <w:rsid w:val="00BB3032"/>
    <w:rsid w:val="00BB7319"/>
    <w:rsid w:val="00BC0256"/>
    <w:rsid w:val="00BC0894"/>
    <w:rsid w:val="00BC3EB8"/>
    <w:rsid w:val="00BC44EA"/>
    <w:rsid w:val="00BC4A96"/>
    <w:rsid w:val="00BC5AC1"/>
    <w:rsid w:val="00BC62E1"/>
    <w:rsid w:val="00BC6896"/>
    <w:rsid w:val="00BD0960"/>
    <w:rsid w:val="00BD1129"/>
    <w:rsid w:val="00BD1535"/>
    <w:rsid w:val="00BD1A78"/>
    <w:rsid w:val="00BD2136"/>
    <w:rsid w:val="00BD2A3F"/>
    <w:rsid w:val="00BD3AC5"/>
    <w:rsid w:val="00BD5378"/>
    <w:rsid w:val="00BD6564"/>
    <w:rsid w:val="00BD7650"/>
    <w:rsid w:val="00BE2FFF"/>
    <w:rsid w:val="00BE3A01"/>
    <w:rsid w:val="00BE4313"/>
    <w:rsid w:val="00BE5457"/>
    <w:rsid w:val="00BE5A92"/>
    <w:rsid w:val="00BE65DC"/>
    <w:rsid w:val="00BE7814"/>
    <w:rsid w:val="00BF1DAC"/>
    <w:rsid w:val="00BF2D4B"/>
    <w:rsid w:val="00BF5058"/>
    <w:rsid w:val="00BF60A7"/>
    <w:rsid w:val="00BF625F"/>
    <w:rsid w:val="00BF6315"/>
    <w:rsid w:val="00C007B2"/>
    <w:rsid w:val="00C009AE"/>
    <w:rsid w:val="00C046CB"/>
    <w:rsid w:val="00C04B1F"/>
    <w:rsid w:val="00C07098"/>
    <w:rsid w:val="00C07FCE"/>
    <w:rsid w:val="00C12B6E"/>
    <w:rsid w:val="00C13625"/>
    <w:rsid w:val="00C14B49"/>
    <w:rsid w:val="00C16982"/>
    <w:rsid w:val="00C170C6"/>
    <w:rsid w:val="00C17314"/>
    <w:rsid w:val="00C1765D"/>
    <w:rsid w:val="00C179CD"/>
    <w:rsid w:val="00C17A97"/>
    <w:rsid w:val="00C17DCA"/>
    <w:rsid w:val="00C2349C"/>
    <w:rsid w:val="00C24A7E"/>
    <w:rsid w:val="00C260E2"/>
    <w:rsid w:val="00C274F9"/>
    <w:rsid w:val="00C27C72"/>
    <w:rsid w:val="00C30317"/>
    <w:rsid w:val="00C309DF"/>
    <w:rsid w:val="00C325AB"/>
    <w:rsid w:val="00C328D2"/>
    <w:rsid w:val="00C331BF"/>
    <w:rsid w:val="00C33539"/>
    <w:rsid w:val="00C33F2E"/>
    <w:rsid w:val="00C3421E"/>
    <w:rsid w:val="00C3462C"/>
    <w:rsid w:val="00C34D4D"/>
    <w:rsid w:val="00C352E4"/>
    <w:rsid w:val="00C356D8"/>
    <w:rsid w:val="00C35EC8"/>
    <w:rsid w:val="00C368E3"/>
    <w:rsid w:val="00C37451"/>
    <w:rsid w:val="00C44804"/>
    <w:rsid w:val="00C44D0D"/>
    <w:rsid w:val="00C451FE"/>
    <w:rsid w:val="00C45DB6"/>
    <w:rsid w:val="00C474E1"/>
    <w:rsid w:val="00C47935"/>
    <w:rsid w:val="00C50559"/>
    <w:rsid w:val="00C518F8"/>
    <w:rsid w:val="00C52EDD"/>
    <w:rsid w:val="00C54908"/>
    <w:rsid w:val="00C551BC"/>
    <w:rsid w:val="00C56713"/>
    <w:rsid w:val="00C57A4B"/>
    <w:rsid w:val="00C60A74"/>
    <w:rsid w:val="00C60B8E"/>
    <w:rsid w:val="00C614B0"/>
    <w:rsid w:val="00C6184C"/>
    <w:rsid w:val="00C61A93"/>
    <w:rsid w:val="00C622CA"/>
    <w:rsid w:val="00C62C38"/>
    <w:rsid w:val="00C63484"/>
    <w:rsid w:val="00C64084"/>
    <w:rsid w:val="00C65AC4"/>
    <w:rsid w:val="00C65FFA"/>
    <w:rsid w:val="00C702F9"/>
    <w:rsid w:val="00C71DD4"/>
    <w:rsid w:val="00C74CA6"/>
    <w:rsid w:val="00C759D6"/>
    <w:rsid w:val="00C76364"/>
    <w:rsid w:val="00C76547"/>
    <w:rsid w:val="00C767A9"/>
    <w:rsid w:val="00C80128"/>
    <w:rsid w:val="00C8127D"/>
    <w:rsid w:val="00C87FDB"/>
    <w:rsid w:val="00C9033B"/>
    <w:rsid w:val="00C913E2"/>
    <w:rsid w:val="00C91DDD"/>
    <w:rsid w:val="00C93530"/>
    <w:rsid w:val="00C93723"/>
    <w:rsid w:val="00C964DF"/>
    <w:rsid w:val="00C96732"/>
    <w:rsid w:val="00C970F1"/>
    <w:rsid w:val="00C971CB"/>
    <w:rsid w:val="00C9729D"/>
    <w:rsid w:val="00CA0D1C"/>
    <w:rsid w:val="00CA1B6A"/>
    <w:rsid w:val="00CA2F3F"/>
    <w:rsid w:val="00CA4468"/>
    <w:rsid w:val="00CA4749"/>
    <w:rsid w:val="00CA4CCD"/>
    <w:rsid w:val="00CA6701"/>
    <w:rsid w:val="00CA76B5"/>
    <w:rsid w:val="00CA7A3D"/>
    <w:rsid w:val="00CB4824"/>
    <w:rsid w:val="00CB5CAD"/>
    <w:rsid w:val="00CB7ECA"/>
    <w:rsid w:val="00CC053E"/>
    <w:rsid w:val="00CC0710"/>
    <w:rsid w:val="00CC0F1E"/>
    <w:rsid w:val="00CC38EA"/>
    <w:rsid w:val="00CC5C40"/>
    <w:rsid w:val="00CC75F4"/>
    <w:rsid w:val="00CC78C3"/>
    <w:rsid w:val="00CD2749"/>
    <w:rsid w:val="00CD3745"/>
    <w:rsid w:val="00CD4C68"/>
    <w:rsid w:val="00CD5DD5"/>
    <w:rsid w:val="00CE09B4"/>
    <w:rsid w:val="00CE0B34"/>
    <w:rsid w:val="00CE2A0C"/>
    <w:rsid w:val="00CE3D6B"/>
    <w:rsid w:val="00CE557F"/>
    <w:rsid w:val="00CE6BAB"/>
    <w:rsid w:val="00CE7D80"/>
    <w:rsid w:val="00CF007B"/>
    <w:rsid w:val="00CF1DC5"/>
    <w:rsid w:val="00CF32AA"/>
    <w:rsid w:val="00CF36F0"/>
    <w:rsid w:val="00CF590D"/>
    <w:rsid w:val="00CF5F54"/>
    <w:rsid w:val="00D0286B"/>
    <w:rsid w:val="00D02A33"/>
    <w:rsid w:val="00D042D5"/>
    <w:rsid w:val="00D0500F"/>
    <w:rsid w:val="00D05DE4"/>
    <w:rsid w:val="00D11D8B"/>
    <w:rsid w:val="00D125C1"/>
    <w:rsid w:val="00D1276B"/>
    <w:rsid w:val="00D1354E"/>
    <w:rsid w:val="00D141C4"/>
    <w:rsid w:val="00D14DBE"/>
    <w:rsid w:val="00D17060"/>
    <w:rsid w:val="00D207D1"/>
    <w:rsid w:val="00D21408"/>
    <w:rsid w:val="00D21505"/>
    <w:rsid w:val="00D21B9F"/>
    <w:rsid w:val="00D22621"/>
    <w:rsid w:val="00D22A24"/>
    <w:rsid w:val="00D233D2"/>
    <w:rsid w:val="00D23691"/>
    <w:rsid w:val="00D31D2F"/>
    <w:rsid w:val="00D321B9"/>
    <w:rsid w:val="00D32354"/>
    <w:rsid w:val="00D33EF7"/>
    <w:rsid w:val="00D378CD"/>
    <w:rsid w:val="00D37B67"/>
    <w:rsid w:val="00D37D46"/>
    <w:rsid w:val="00D40184"/>
    <w:rsid w:val="00D413F4"/>
    <w:rsid w:val="00D42291"/>
    <w:rsid w:val="00D43065"/>
    <w:rsid w:val="00D4345D"/>
    <w:rsid w:val="00D454A0"/>
    <w:rsid w:val="00D46E93"/>
    <w:rsid w:val="00D4701D"/>
    <w:rsid w:val="00D50D8C"/>
    <w:rsid w:val="00D51715"/>
    <w:rsid w:val="00D53C94"/>
    <w:rsid w:val="00D5456E"/>
    <w:rsid w:val="00D5470C"/>
    <w:rsid w:val="00D54F92"/>
    <w:rsid w:val="00D55B14"/>
    <w:rsid w:val="00D638A8"/>
    <w:rsid w:val="00D641BC"/>
    <w:rsid w:val="00D65C3A"/>
    <w:rsid w:val="00D70E74"/>
    <w:rsid w:val="00D712AB"/>
    <w:rsid w:val="00D729C4"/>
    <w:rsid w:val="00D73017"/>
    <w:rsid w:val="00D737BA"/>
    <w:rsid w:val="00D745DF"/>
    <w:rsid w:val="00D7558F"/>
    <w:rsid w:val="00D756F9"/>
    <w:rsid w:val="00D775CB"/>
    <w:rsid w:val="00D83619"/>
    <w:rsid w:val="00D87C0D"/>
    <w:rsid w:val="00D9068C"/>
    <w:rsid w:val="00D9126F"/>
    <w:rsid w:val="00D957A7"/>
    <w:rsid w:val="00D97D6D"/>
    <w:rsid w:val="00DA0047"/>
    <w:rsid w:val="00DA23FF"/>
    <w:rsid w:val="00DA2653"/>
    <w:rsid w:val="00DA451B"/>
    <w:rsid w:val="00DA60E0"/>
    <w:rsid w:val="00DA678E"/>
    <w:rsid w:val="00DA6DDC"/>
    <w:rsid w:val="00DA6E42"/>
    <w:rsid w:val="00DA70B3"/>
    <w:rsid w:val="00DA73F7"/>
    <w:rsid w:val="00DB1891"/>
    <w:rsid w:val="00DB4384"/>
    <w:rsid w:val="00DB632B"/>
    <w:rsid w:val="00DB6418"/>
    <w:rsid w:val="00DB7554"/>
    <w:rsid w:val="00DC009C"/>
    <w:rsid w:val="00DC16A2"/>
    <w:rsid w:val="00DC27AC"/>
    <w:rsid w:val="00DC4731"/>
    <w:rsid w:val="00DC4ABF"/>
    <w:rsid w:val="00DC6C36"/>
    <w:rsid w:val="00DC710B"/>
    <w:rsid w:val="00DC71D3"/>
    <w:rsid w:val="00DD0BDC"/>
    <w:rsid w:val="00DD0ED2"/>
    <w:rsid w:val="00DD34D4"/>
    <w:rsid w:val="00DD4AC6"/>
    <w:rsid w:val="00DD6F40"/>
    <w:rsid w:val="00DD761E"/>
    <w:rsid w:val="00DE0C46"/>
    <w:rsid w:val="00DE33D4"/>
    <w:rsid w:val="00DE3D31"/>
    <w:rsid w:val="00DE426F"/>
    <w:rsid w:val="00DE435A"/>
    <w:rsid w:val="00DE4EE7"/>
    <w:rsid w:val="00DE50A6"/>
    <w:rsid w:val="00DE5849"/>
    <w:rsid w:val="00DE78F2"/>
    <w:rsid w:val="00DF07C9"/>
    <w:rsid w:val="00DF3771"/>
    <w:rsid w:val="00DF5C61"/>
    <w:rsid w:val="00DF624E"/>
    <w:rsid w:val="00DF752C"/>
    <w:rsid w:val="00E01381"/>
    <w:rsid w:val="00E04492"/>
    <w:rsid w:val="00E04AE2"/>
    <w:rsid w:val="00E05156"/>
    <w:rsid w:val="00E1166F"/>
    <w:rsid w:val="00E119F9"/>
    <w:rsid w:val="00E134D4"/>
    <w:rsid w:val="00E151BF"/>
    <w:rsid w:val="00E1546A"/>
    <w:rsid w:val="00E1795F"/>
    <w:rsid w:val="00E21820"/>
    <w:rsid w:val="00E2242C"/>
    <w:rsid w:val="00E2323E"/>
    <w:rsid w:val="00E2601F"/>
    <w:rsid w:val="00E26BA1"/>
    <w:rsid w:val="00E301A1"/>
    <w:rsid w:val="00E307DE"/>
    <w:rsid w:val="00E320CF"/>
    <w:rsid w:val="00E329C9"/>
    <w:rsid w:val="00E3313F"/>
    <w:rsid w:val="00E3696F"/>
    <w:rsid w:val="00E400EA"/>
    <w:rsid w:val="00E424C4"/>
    <w:rsid w:val="00E42676"/>
    <w:rsid w:val="00E45538"/>
    <w:rsid w:val="00E457D0"/>
    <w:rsid w:val="00E51BF9"/>
    <w:rsid w:val="00E52E9B"/>
    <w:rsid w:val="00E5309C"/>
    <w:rsid w:val="00E5439D"/>
    <w:rsid w:val="00E559D9"/>
    <w:rsid w:val="00E56E54"/>
    <w:rsid w:val="00E57405"/>
    <w:rsid w:val="00E57DCC"/>
    <w:rsid w:val="00E61BED"/>
    <w:rsid w:val="00E64A67"/>
    <w:rsid w:val="00E66103"/>
    <w:rsid w:val="00E66D1B"/>
    <w:rsid w:val="00E672A2"/>
    <w:rsid w:val="00E70916"/>
    <w:rsid w:val="00E70F6E"/>
    <w:rsid w:val="00E70FC1"/>
    <w:rsid w:val="00E716C3"/>
    <w:rsid w:val="00E72014"/>
    <w:rsid w:val="00E76D09"/>
    <w:rsid w:val="00E801A8"/>
    <w:rsid w:val="00E818C1"/>
    <w:rsid w:val="00E830FC"/>
    <w:rsid w:val="00E833D7"/>
    <w:rsid w:val="00E85F3A"/>
    <w:rsid w:val="00E86E47"/>
    <w:rsid w:val="00E92115"/>
    <w:rsid w:val="00E92ADC"/>
    <w:rsid w:val="00E92C9C"/>
    <w:rsid w:val="00E9442A"/>
    <w:rsid w:val="00E951FB"/>
    <w:rsid w:val="00E962B6"/>
    <w:rsid w:val="00E9682B"/>
    <w:rsid w:val="00E96B20"/>
    <w:rsid w:val="00E96DDD"/>
    <w:rsid w:val="00E97B50"/>
    <w:rsid w:val="00E97F43"/>
    <w:rsid w:val="00EA0499"/>
    <w:rsid w:val="00EA0AC8"/>
    <w:rsid w:val="00EA1A01"/>
    <w:rsid w:val="00EA70B5"/>
    <w:rsid w:val="00EB1E6E"/>
    <w:rsid w:val="00EB3170"/>
    <w:rsid w:val="00EB357E"/>
    <w:rsid w:val="00EB4141"/>
    <w:rsid w:val="00EB4539"/>
    <w:rsid w:val="00EC1E13"/>
    <w:rsid w:val="00EC224F"/>
    <w:rsid w:val="00EC2476"/>
    <w:rsid w:val="00EC27A3"/>
    <w:rsid w:val="00EC3414"/>
    <w:rsid w:val="00EC55B9"/>
    <w:rsid w:val="00EC668C"/>
    <w:rsid w:val="00EC67F3"/>
    <w:rsid w:val="00EC6FE3"/>
    <w:rsid w:val="00EC7582"/>
    <w:rsid w:val="00ED0C4C"/>
    <w:rsid w:val="00ED2AB8"/>
    <w:rsid w:val="00ED35EA"/>
    <w:rsid w:val="00ED3B78"/>
    <w:rsid w:val="00ED4A63"/>
    <w:rsid w:val="00ED78D3"/>
    <w:rsid w:val="00ED7C74"/>
    <w:rsid w:val="00EE1957"/>
    <w:rsid w:val="00EE20ED"/>
    <w:rsid w:val="00EE223E"/>
    <w:rsid w:val="00EE2251"/>
    <w:rsid w:val="00EE4609"/>
    <w:rsid w:val="00EE6921"/>
    <w:rsid w:val="00EE7CF5"/>
    <w:rsid w:val="00EE7E37"/>
    <w:rsid w:val="00EF1A40"/>
    <w:rsid w:val="00EF2AC3"/>
    <w:rsid w:val="00EF3E61"/>
    <w:rsid w:val="00EF3F52"/>
    <w:rsid w:val="00EF40B6"/>
    <w:rsid w:val="00EF48AE"/>
    <w:rsid w:val="00EF5AE9"/>
    <w:rsid w:val="00EF6A05"/>
    <w:rsid w:val="00F01AE0"/>
    <w:rsid w:val="00F01D1F"/>
    <w:rsid w:val="00F01FF5"/>
    <w:rsid w:val="00F02415"/>
    <w:rsid w:val="00F0245C"/>
    <w:rsid w:val="00F04760"/>
    <w:rsid w:val="00F04A83"/>
    <w:rsid w:val="00F04EB9"/>
    <w:rsid w:val="00F076D9"/>
    <w:rsid w:val="00F10222"/>
    <w:rsid w:val="00F11683"/>
    <w:rsid w:val="00F11B86"/>
    <w:rsid w:val="00F1333A"/>
    <w:rsid w:val="00F13B29"/>
    <w:rsid w:val="00F16590"/>
    <w:rsid w:val="00F179A8"/>
    <w:rsid w:val="00F22A70"/>
    <w:rsid w:val="00F23B68"/>
    <w:rsid w:val="00F26354"/>
    <w:rsid w:val="00F2642A"/>
    <w:rsid w:val="00F264E0"/>
    <w:rsid w:val="00F27980"/>
    <w:rsid w:val="00F30D00"/>
    <w:rsid w:val="00F31CF0"/>
    <w:rsid w:val="00F32E5A"/>
    <w:rsid w:val="00F332BA"/>
    <w:rsid w:val="00F33DF9"/>
    <w:rsid w:val="00F33E0E"/>
    <w:rsid w:val="00F34E2A"/>
    <w:rsid w:val="00F34F51"/>
    <w:rsid w:val="00F36440"/>
    <w:rsid w:val="00F40355"/>
    <w:rsid w:val="00F43BE7"/>
    <w:rsid w:val="00F449B3"/>
    <w:rsid w:val="00F510FF"/>
    <w:rsid w:val="00F54944"/>
    <w:rsid w:val="00F55848"/>
    <w:rsid w:val="00F55E5D"/>
    <w:rsid w:val="00F60D7A"/>
    <w:rsid w:val="00F639C7"/>
    <w:rsid w:val="00F649C2"/>
    <w:rsid w:val="00F64AB3"/>
    <w:rsid w:val="00F656DE"/>
    <w:rsid w:val="00F663EA"/>
    <w:rsid w:val="00F667D1"/>
    <w:rsid w:val="00F70DC5"/>
    <w:rsid w:val="00F71181"/>
    <w:rsid w:val="00F721B6"/>
    <w:rsid w:val="00F73145"/>
    <w:rsid w:val="00F73536"/>
    <w:rsid w:val="00F7462B"/>
    <w:rsid w:val="00F74B72"/>
    <w:rsid w:val="00F75620"/>
    <w:rsid w:val="00F76920"/>
    <w:rsid w:val="00F7718F"/>
    <w:rsid w:val="00F810B4"/>
    <w:rsid w:val="00F82956"/>
    <w:rsid w:val="00F830A8"/>
    <w:rsid w:val="00F8346E"/>
    <w:rsid w:val="00F834A7"/>
    <w:rsid w:val="00F8481F"/>
    <w:rsid w:val="00F84B55"/>
    <w:rsid w:val="00F9222D"/>
    <w:rsid w:val="00F935EA"/>
    <w:rsid w:val="00F93957"/>
    <w:rsid w:val="00F9679E"/>
    <w:rsid w:val="00F96DD0"/>
    <w:rsid w:val="00F96E99"/>
    <w:rsid w:val="00F96F52"/>
    <w:rsid w:val="00FA1FF6"/>
    <w:rsid w:val="00FA39C9"/>
    <w:rsid w:val="00FA41A4"/>
    <w:rsid w:val="00FA4C66"/>
    <w:rsid w:val="00FA5C25"/>
    <w:rsid w:val="00FA7F01"/>
    <w:rsid w:val="00FB444C"/>
    <w:rsid w:val="00FB5185"/>
    <w:rsid w:val="00FB5738"/>
    <w:rsid w:val="00FB6BA6"/>
    <w:rsid w:val="00FC3182"/>
    <w:rsid w:val="00FC398B"/>
    <w:rsid w:val="00FC3ECA"/>
    <w:rsid w:val="00FC4B27"/>
    <w:rsid w:val="00FC5C6C"/>
    <w:rsid w:val="00FC6415"/>
    <w:rsid w:val="00FD0694"/>
    <w:rsid w:val="00FD09E1"/>
    <w:rsid w:val="00FD0F7B"/>
    <w:rsid w:val="00FD3228"/>
    <w:rsid w:val="00FD5761"/>
    <w:rsid w:val="00FD5AAA"/>
    <w:rsid w:val="00FD5CE3"/>
    <w:rsid w:val="00FD62B8"/>
    <w:rsid w:val="00FD77DD"/>
    <w:rsid w:val="00FE0829"/>
    <w:rsid w:val="00FE1872"/>
    <w:rsid w:val="00FE1923"/>
    <w:rsid w:val="00FE19D4"/>
    <w:rsid w:val="00FE235C"/>
    <w:rsid w:val="00FE2840"/>
    <w:rsid w:val="00FE3503"/>
    <w:rsid w:val="00FE3986"/>
    <w:rsid w:val="00FE43C1"/>
    <w:rsid w:val="00FE765E"/>
    <w:rsid w:val="00FF1C2F"/>
    <w:rsid w:val="00FF230F"/>
    <w:rsid w:val="00FF26E1"/>
    <w:rsid w:val="00FF3F21"/>
    <w:rsid w:val="00FF5B01"/>
    <w:rsid w:val="00FF785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FBDA98F-ED71-4527-9099-0DC4E0377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26E1"/>
    <w:pPr>
      <w:spacing w:before="120" w:after="120" w:line="360" w:lineRule="auto"/>
      <w:jc w:val="both"/>
    </w:pPr>
    <w:rPr>
      <w:rFonts w:ascii="Verdana" w:hAnsi="Verdana"/>
      <w:sz w:val="18"/>
      <w:szCs w:val="22"/>
    </w:rPr>
  </w:style>
  <w:style w:type="paragraph" w:styleId="Heading1">
    <w:name w:val="heading 1"/>
    <w:next w:val="Normal"/>
    <w:link w:val="Heading1Char"/>
    <w:uiPriority w:val="9"/>
    <w:qFormat/>
    <w:rsid w:val="00F43BE7"/>
    <w:pPr>
      <w:keepNext/>
      <w:keepLines/>
      <w:numPr>
        <w:numId w:val="1"/>
      </w:numPr>
      <w:tabs>
        <w:tab w:val="left" w:pos="426"/>
      </w:tabs>
      <w:spacing w:before="480" w:after="200" w:line="276" w:lineRule="auto"/>
      <w:outlineLvl w:val="0"/>
    </w:pPr>
    <w:rPr>
      <w:rFonts w:ascii="Verdana" w:hAnsi="Verdana"/>
      <w:b/>
      <w:bCs/>
      <w:color w:val="C45911"/>
      <w:szCs w:val="28"/>
      <w:lang w:val="cs-CZ" w:eastAsia="ar-SA"/>
    </w:rPr>
  </w:style>
  <w:style w:type="paragraph" w:styleId="Heading2">
    <w:name w:val="heading 2"/>
    <w:basedOn w:val="Heading1"/>
    <w:next w:val="Normal"/>
    <w:link w:val="Heading2Char"/>
    <w:autoRedefine/>
    <w:uiPriority w:val="9"/>
    <w:qFormat/>
    <w:rsid w:val="000744E0"/>
    <w:pPr>
      <w:numPr>
        <w:ilvl w:val="1"/>
      </w:numPr>
      <w:tabs>
        <w:tab w:val="clear" w:pos="426"/>
        <w:tab w:val="left" w:pos="993"/>
      </w:tabs>
      <w:spacing w:before="120" w:after="120"/>
      <w:jc w:val="both"/>
      <w:outlineLvl w:val="1"/>
    </w:pPr>
    <w:rPr>
      <w:bCs w:val="0"/>
      <w:sz w:val="18"/>
      <w:szCs w:val="18"/>
      <w:lang w:val="bg-BG"/>
    </w:rPr>
  </w:style>
  <w:style w:type="paragraph" w:styleId="Heading3">
    <w:name w:val="heading 3"/>
    <w:basedOn w:val="Normal"/>
    <w:next w:val="Normal"/>
    <w:link w:val="Heading3Char"/>
    <w:uiPriority w:val="9"/>
    <w:qFormat/>
    <w:rsid w:val="000744E0"/>
    <w:pPr>
      <w:keepNext/>
      <w:keepLines/>
      <w:numPr>
        <w:ilvl w:val="2"/>
        <w:numId w:val="1"/>
      </w:numPr>
      <w:suppressAutoHyphens/>
      <w:spacing w:before="200"/>
      <w:outlineLvl w:val="2"/>
    </w:pPr>
    <w:rPr>
      <w:b/>
      <w:bCs/>
      <w:color w:val="C45911"/>
      <w:sz w:val="20"/>
      <w:szCs w:val="24"/>
      <w:lang w:val="cs-CZ" w:eastAsia="ar-SA"/>
    </w:rPr>
  </w:style>
  <w:style w:type="paragraph" w:styleId="Heading4">
    <w:name w:val="heading 4"/>
    <w:basedOn w:val="Normal"/>
    <w:next w:val="Normal"/>
    <w:link w:val="Heading4Char"/>
    <w:uiPriority w:val="9"/>
    <w:qFormat/>
    <w:rsid w:val="00B2018E"/>
    <w:pPr>
      <w:keepNext/>
      <w:keepLines/>
      <w:tabs>
        <w:tab w:val="num" w:pos="1920"/>
      </w:tabs>
      <w:suppressAutoHyphens/>
      <w:spacing w:before="200" w:after="0"/>
      <w:ind w:left="1920" w:hanging="720"/>
      <w:outlineLvl w:val="3"/>
    </w:pPr>
    <w:rPr>
      <w:b/>
      <w:bCs/>
      <w:iCs/>
      <w:color w:val="365F91"/>
      <w:sz w:val="20"/>
      <w:szCs w:val="24"/>
      <w:lang w:val="cs-CZ" w:eastAsia="ar-SA"/>
    </w:rPr>
  </w:style>
  <w:style w:type="paragraph" w:styleId="Heading5">
    <w:name w:val="heading 5"/>
    <w:basedOn w:val="Normal"/>
    <w:next w:val="Normal"/>
    <w:link w:val="Heading5Char"/>
    <w:uiPriority w:val="9"/>
    <w:qFormat/>
    <w:rsid w:val="00E559D9"/>
    <w:pPr>
      <w:keepNext/>
      <w:keepLines/>
      <w:spacing w:before="200" w:after="0"/>
      <w:ind w:left="2880"/>
      <w:outlineLvl w:val="4"/>
    </w:pPr>
    <w:rPr>
      <w:rFonts w:ascii="Cambria" w:hAnsi="Cambria"/>
      <w:color w:val="243F60"/>
      <w:szCs w:val="20"/>
      <w:lang w:val="x-none"/>
    </w:rPr>
  </w:style>
  <w:style w:type="paragraph" w:styleId="Heading6">
    <w:name w:val="heading 6"/>
    <w:basedOn w:val="Normal"/>
    <w:next w:val="Normal"/>
    <w:link w:val="Heading6Char"/>
    <w:uiPriority w:val="9"/>
    <w:qFormat/>
    <w:rsid w:val="00E559D9"/>
    <w:pPr>
      <w:keepNext/>
      <w:keepLines/>
      <w:spacing w:before="200" w:after="0"/>
      <w:ind w:left="3600"/>
      <w:outlineLvl w:val="5"/>
    </w:pPr>
    <w:rPr>
      <w:rFonts w:ascii="Cambria" w:hAnsi="Cambria"/>
      <w:i/>
      <w:iCs/>
      <w:color w:val="243F60"/>
      <w:szCs w:val="20"/>
      <w:lang w:val="x-none"/>
    </w:rPr>
  </w:style>
  <w:style w:type="paragraph" w:styleId="Heading7">
    <w:name w:val="heading 7"/>
    <w:basedOn w:val="Normal"/>
    <w:next w:val="Normal"/>
    <w:link w:val="Heading7Char"/>
    <w:uiPriority w:val="9"/>
    <w:qFormat/>
    <w:rsid w:val="00E559D9"/>
    <w:pPr>
      <w:keepNext/>
      <w:keepLines/>
      <w:spacing w:before="200" w:after="0"/>
      <w:ind w:left="4320"/>
      <w:outlineLvl w:val="6"/>
    </w:pPr>
    <w:rPr>
      <w:rFonts w:ascii="Cambria" w:hAnsi="Cambria"/>
      <w:i/>
      <w:iCs/>
      <w:color w:val="404040"/>
      <w:szCs w:val="20"/>
      <w:lang w:val="x-none"/>
    </w:rPr>
  </w:style>
  <w:style w:type="paragraph" w:styleId="Heading8">
    <w:name w:val="heading 8"/>
    <w:basedOn w:val="Normal"/>
    <w:next w:val="Normal"/>
    <w:link w:val="Heading8Char"/>
    <w:uiPriority w:val="9"/>
    <w:qFormat/>
    <w:rsid w:val="00E559D9"/>
    <w:pPr>
      <w:keepNext/>
      <w:keepLines/>
      <w:spacing w:before="200" w:after="0"/>
      <w:ind w:left="504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E559D9"/>
    <w:pPr>
      <w:keepNext/>
      <w:keepLines/>
      <w:spacing w:before="200" w:after="0"/>
      <w:ind w:left="576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43BE7"/>
    <w:rPr>
      <w:rFonts w:ascii="Verdana" w:hAnsi="Verdana"/>
      <w:b/>
      <w:bCs/>
      <w:color w:val="C45911"/>
      <w:szCs w:val="28"/>
      <w:lang w:val="cs-CZ" w:eastAsia="ar-SA"/>
    </w:rPr>
  </w:style>
  <w:style w:type="character" w:customStyle="1" w:styleId="Heading2Char">
    <w:name w:val="Heading 2 Char"/>
    <w:link w:val="Heading2"/>
    <w:uiPriority w:val="9"/>
    <w:rsid w:val="000744E0"/>
    <w:rPr>
      <w:rFonts w:ascii="Verdana" w:hAnsi="Verdana"/>
      <w:b/>
      <w:color w:val="C45911"/>
      <w:sz w:val="18"/>
      <w:szCs w:val="18"/>
      <w:lang w:val="bg-BG" w:eastAsia="ar-SA"/>
    </w:rPr>
  </w:style>
  <w:style w:type="character" w:customStyle="1" w:styleId="Heading3Char">
    <w:name w:val="Heading 3 Char"/>
    <w:link w:val="Heading3"/>
    <w:uiPriority w:val="9"/>
    <w:rsid w:val="000744E0"/>
    <w:rPr>
      <w:rFonts w:ascii="Verdana" w:hAnsi="Verdana"/>
      <w:b/>
      <w:bCs/>
      <w:color w:val="C45911"/>
      <w:szCs w:val="24"/>
      <w:lang w:val="cs-CZ" w:eastAsia="ar-SA"/>
    </w:rPr>
  </w:style>
  <w:style w:type="character" w:customStyle="1" w:styleId="Heading4Char">
    <w:name w:val="Heading 4 Char"/>
    <w:link w:val="Heading4"/>
    <w:uiPriority w:val="9"/>
    <w:rsid w:val="00B2018E"/>
    <w:rPr>
      <w:rFonts w:ascii="Verdana" w:eastAsia="Times New Roman" w:hAnsi="Verdana" w:cs="Times New Roman"/>
      <w:b/>
      <w:bCs/>
      <w:iCs/>
      <w:color w:val="365F91"/>
      <w:sz w:val="20"/>
      <w:szCs w:val="24"/>
      <w:lang w:val="cs-CZ" w:eastAsia="ar-SA"/>
    </w:rPr>
  </w:style>
  <w:style w:type="paragraph" w:styleId="Header">
    <w:name w:val="header"/>
    <w:basedOn w:val="Normal"/>
    <w:link w:val="HeaderChar"/>
    <w:uiPriority w:val="99"/>
    <w:unhideWhenUsed/>
    <w:rsid w:val="006665F0"/>
    <w:pPr>
      <w:tabs>
        <w:tab w:val="center" w:pos="4536"/>
        <w:tab w:val="right" w:pos="9072"/>
      </w:tabs>
      <w:spacing w:before="0" w:after="0" w:line="240" w:lineRule="auto"/>
    </w:pPr>
    <w:rPr>
      <w:sz w:val="16"/>
      <w:szCs w:val="20"/>
      <w:lang w:val="x-none"/>
    </w:rPr>
  </w:style>
  <w:style w:type="character" w:customStyle="1" w:styleId="HeaderChar">
    <w:name w:val="Header Char"/>
    <w:link w:val="Header"/>
    <w:uiPriority w:val="99"/>
    <w:rsid w:val="006665F0"/>
    <w:rPr>
      <w:rFonts w:ascii="Verdana" w:hAnsi="Verdana" w:cs="Times New Roman"/>
      <w:sz w:val="16"/>
      <w:lang w:eastAsia="bg-BG"/>
    </w:rPr>
  </w:style>
  <w:style w:type="paragraph" w:styleId="Footer">
    <w:name w:val="footer"/>
    <w:basedOn w:val="Normal"/>
    <w:link w:val="FooterChar"/>
    <w:uiPriority w:val="99"/>
    <w:unhideWhenUsed/>
    <w:rsid w:val="006665F0"/>
    <w:pPr>
      <w:tabs>
        <w:tab w:val="center" w:pos="4536"/>
        <w:tab w:val="right" w:pos="9072"/>
      </w:tabs>
      <w:spacing w:before="0" w:after="0" w:line="240" w:lineRule="auto"/>
    </w:pPr>
    <w:rPr>
      <w:sz w:val="16"/>
      <w:szCs w:val="20"/>
      <w:lang w:val="x-none"/>
    </w:rPr>
  </w:style>
  <w:style w:type="character" w:customStyle="1" w:styleId="FooterChar">
    <w:name w:val="Footer Char"/>
    <w:link w:val="Footer"/>
    <w:uiPriority w:val="99"/>
    <w:rsid w:val="006665F0"/>
    <w:rPr>
      <w:rFonts w:ascii="Verdana" w:hAnsi="Verdana" w:cs="Times New Roman"/>
      <w:sz w:val="16"/>
      <w:lang w:eastAsia="bg-BG"/>
    </w:rPr>
  </w:style>
  <w:style w:type="paragraph" w:styleId="BalloonText">
    <w:name w:val="Balloon Text"/>
    <w:basedOn w:val="Normal"/>
    <w:link w:val="BalloonTextChar"/>
    <w:uiPriority w:val="99"/>
    <w:semiHidden/>
    <w:unhideWhenUsed/>
    <w:rsid w:val="006665F0"/>
    <w:pPr>
      <w:spacing w:before="0"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6665F0"/>
    <w:rPr>
      <w:rFonts w:ascii="Tahoma" w:hAnsi="Tahoma" w:cs="Tahoma"/>
      <w:sz w:val="16"/>
      <w:szCs w:val="16"/>
      <w:lang w:eastAsia="bg-BG"/>
    </w:rPr>
  </w:style>
  <w:style w:type="character" w:customStyle="1" w:styleId="Heading5Char">
    <w:name w:val="Heading 5 Char"/>
    <w:link w:val="Heading5"/>
    <w:uiPriority w:val="9"/>
    <w:semiHidden/>
    <w:rsid w:val="00E559D9"/>
    <w:rPr>
      <w:rFonts w:ascii="Cambria" w:eastAsia="Times New Roman" w:hAnsi="Cambria" w:cs="Times New Roman"/>
      <w:color w:val="243F60"/>
      <w:sz w:val="18"/>
      <w:lang w:eastAsia="bg-BG"/>
    </w:rPr>
  </w:style>
  <w:style w:type="character" w:customStyle="1" w:styleId="Heading6Char">
    <w:name w:val="Heading 6 Char"/>
    <w:link w:val="Heading6"/>
    <w:uiPriority w:val="9"/>
    <w:semiHidden/>
    <w:rsid w:val="00E559D9"/>
    <w:rPr>
      <w:rFonts w:ascii="Cambria" w:eastAsia="Times New Roman" w:hAnsi="Cambria" w:cs="Times New Roman"/>
      <w:i/>
      <w:iCs/>
      <w:color w:val="243F60"/>
      <w:sz w:val="18"/>
      <w:lang w:eastAsia="bg-BG"/>
    </w:rPr>
  </w:style>
  <w:style w:type="character" w:customStyle="1" w:styleId="Heading7Char">
    <w:name w:val="Heading 7 Char"/>
    <w:link w:val="Heading7"/>
    <w:uiPriority w:val="9"/>
    <w:semiHidden/>
    <w:rsid w:val="00E559D9"/>
    <w:rPr>
      <w:rFonts w:ascii="Cambria" w:eastAsia="Times New Roman" w:hAnsi="Cambria" w:cs="Times New Roman"/>
      <w:i/>
      <w:iCs/>
      <w:color w:val="404040"/>
      <w:sz w:val="18"/>
      <w:lang w:eastAsia="bg-BG"/>
    </w:rPr>
  </w:style>
  <w:style w:type="character" w:customStyle="1" w:styleId="Heading8Char">
    <w:name w:val="Heading 8 Char"/>
    <w:link w:val="Heading8"/>
    <w:uiPriority w:val="9"/>
    <w:semiHidden/>
    <w:rsid w:val="00E559D9"/>
    <w:rPr>
      <w:rFonts w:ascii="Cambria" w:eastAsia="Times New Roman" w:hAnsi="Cambria" w:cs="Times New Roman"/>
      <w:color w:val="404040"/>
      <w:sz w:val="20"/>
      <w:szCs w:val="20"/>
      <w:lang w:eastAsia="bg-BG"/>
    </w:rPr>
  </w:style>
  <w:style w:type="character" w:customStyle="1" w:styleId="Heading9Char">
    <w:name w:val="Heading 9 Char"/>
    <w:link w:val="Heading9"/>
    <w:uiPriority w:val="9"/>
    <w:semiHidden/>
    <w:rsid w:val="00E559D9"/>
    <w:rPr>
      <w:rFonts w:ascii="Cambria" w:eastAsia="Times New Roman" w:hAnsi="Cambria" w:cs="Times New Roman"/>
      <w:i/>
      <w:iCs/>
      <w:color w:val="404040"/>
      <w:sz w:val="20"/>
      <w:szCs w:val="20"/>
      <w:lang w:eastAsia="bg-BG"/>
    </w:rPr>
  </w:style>
  <w:style w:type="paragraph" w:customStyle="1" w:styleId="Text1">
    <w:name w:val="Text 1"/>
    <w:basedOn w:val="Normal"/>
    <w:rsid w:val="00D87C0D"/>
    <w:pPr>
      <w:spacing w:before="0" w:after="240" w:line="240" w:lineRule="auto"/>
      <w:ind w:left="482"/>
    </w:pPr>
    <w:rPr>
      <w:rFonts w:ascii="Times New Roman" w:hAnsi="Times New Roman"/>
      <w:snapToGrid w:val="0"/>
      <w:sz w:val="24"/>
      <w:szCs w:val="20"/>
      <w:lang w:val="en-GB" w:eastAsia="en-US"/>
    </w:rPr>
  </w:style>
  <w:style w:type="paragraph" w:styleId="ListParagraph">
    <w:name w:val="List Paragraph"/>
    <w:basedOn w:val="Normal"/>
    <w:uiPriority w:val="34"/>
    <w:qFormat/>
    <w:rsid w:val="00BD0960"/>
    <w:pPr>
      <w:ind w:left="720"/>
      <w:contextualSpacing/>
    </w:pPr>
  </w:style>
  <w:style w:type="paragraph" w:styleId="TOCHeading">
    <w:name w:val="TOC Heading"/>
    <w:basedOn w:val="Heading1"/>
    <w:next w:val="Normal"/>
    <w:uiPriority w:val="39"/>
    <w:qFormat/>
    <w:rsid w:val="00FA5C25"/>
    <w:pPr>
      <w:numPr>
        <w:numId w:val="0"/>
      </w:numPr>
      <w:tabs>
        <w:tab w:val="clear" w:pos="426"/>
      </w:tabs>
      <w:spacing w:after="0"/>
      <w:outlineLvl w:val="9"/>
    </w:pPr>
    <w:rPr>
      <w:rFonts w:ascii="Cambria" w:hAnsi="Cambria"/>
      <w:sz w:val="28"/>
      <w:lang w:val="en-US" w:eastAsia="ja-JP"/>
    </w:rPr>
  </w:style>
  <w:style w:type="paragraph" w:styleId="TOC1">
    <w:name w:val="toc 1"/>
    <w:basedOn w:val="Normal"/>
    <w:next w:val="Normal"/>
    <w:autoRedefine/>
    <w:uiPriority w:val="39"/>
    <w:unhideWhenUsed/>
    <w:rsid w:val="00FA5C25"/>
    <w:pPr>
      <w:spacing w:after="100"/>
    </w:pPr>
  </w:style>
  <w:style w:type="paragraph" w:styleId="TOC2">
    <w:name w:val="toc 2"/>
    <w:basedOn w:val="Normal"/>
    <w:next w:val="Normal"/>
    <w:autoRedefine/>
    <w:uiPriority w:val="39"/>
    <w:unhideWhenUsed/>
    <w:rsid w:val="00FA5C25"/>
    <w:pPr>
      <w:spacing w:after="100"/>
      <w:ind w:left="180"/>
    </w:pPr>
  </w:style>
  <w:style w:type="paragraph" w:styleId="TOC3">
    <w:name w:val="toc 3"/>
    <w:basedOn w:val="Normal"/>
    <w:next w:val="Normal"/>
    <w:autoRedefine/>
    <w:uiPriority w:val="39"/>
    <w:unhideWhenUsed/>
    <w:rsid w:val="00FA5C25"/>
    <w:pPr>
      <w:spacing w:after="100"/>
      <w:ind w:left="360"/>
    </w:pPr>
  </w:style>
  <w:style w:type="character" w:styleId="Hyperlink">
    <w:name w:val="Hyperlink"/>
    <w:uiPriority w:val="99"/>
    <w:unhideWhenUsed/>
    <w:rsid w:val="00FA5C25"/>
    <w:rPr>
      <w:color w:val="0000FF"/>
      <w:u w:val="single"/>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pa"/>
    <w:basedOn w:val="Normal"/>
    <w:link w:val="FootnoteTextChar"/>
    <w:unhideWhenUsed/>
    <w:rsid w:val="0031056C"/>
    <w:pPr>
      <w:spacing w:before="0" w:after="200" w:line="276" w:lineRule="auto"/>
      <w:jc w:val="left"/>
    </w:pPr>
    <w:rPr>
      <w:rFonts w:ascii="Calibri" w:hAnsi="Calibri"/>
      <w:sz w:val="20"/>
      <w:szCs w:val="20"/>
      <w:lang w:val="en-US" w:eastAsia="en-US"/>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rsid w:val="0031056C"/>
    <w:rPr>
      <w:lang w:val="en-US" w:eastAsia="en-US"/>
    </w:rPr>
  </w:style>
  <w:style w:type="character" w:styleId="FootnoteReference">
    <w:name w:val="footnote reference"/>
    <w:aliases w:val="Footnote symbol"/>
    <w:semiHidden/>
    <w:unhideWhenUsed/>
    <w:rsid w:val="0031056C"/>
    <w:rPr>
      <w:vertAlign w:val="superscript"/>
    </w:rPr>
  </w:style>
  <w:style w:type="paragraph" w:customStyle="1" w:styleId="CM1">
    <w:name w:val="CM1"/>
    <w:basedOn w:val="Normal"/>
    <w:next w:val="Normal"/>
    <w:uiPriority w:val="99"/>
    <w:rsid w:val="0031056C"/>
    <w:pPr>
      <w:autoSpaceDE w:val="0"/>
      <w:autoSpaceDN w:val="0"/>
      <w:adjustRightInd w:val="0"/>
      <w:spacing w:before="0" w:after="0" w:line="240" w:lineRule="auto"/>
      <w:jc w:val="left"/>
    </w:pPr>
    <w:rPr>
      <w:rFonts w:ascii="EUAlbertina" w:hAnsi="EUAlbertina"/>
      <w:sz w:val="24"/>
      <w:szCs w:val="24"/>
    </w:rPr>
  </w:style>
  <w:style w:type="character" w:styleId="PageNumber">
    <w:name w:val="page number"/>
    <w:basedOn w:val="DefaultParagraphFont"/>
    <w:rsid w:val="0048578E"/>
  </w:style>
  <w:style w:type="character" w:styleId="CommentReference">
    <w:name w:val="annotation reference"/>
    <w:uiPriority w:val="99"/>
    <w:rsid w:val="007E6704"/>
    <w:rPr>
      <w:sz w:val="16"/>
      <w:szCs w:val="16"/>
    </w:rPr>
  </w:style>
  <w:style w:type="paragraph" w:styleId="CommentText">
    <w:name w:val="annotation text"/>
    <w:basedOn w:val="Normal"/>
    <w:link w:val="CommentTextChar"/>
    <w:uiPriority w:val="99"/>
    <w:rsid w:val="007E6704"/>
    <w:rPr>
      <w:sz w:val="20"/>
      <w:szCs w:val="20"/>
    </w:rPr>
  </w:style>
  <w:style w:type="paragraph" w:styleId="CommentSubject">
    <w:name w:val="annotation subject"/>
    <w:basedOn w:val="CommentText"/>
    <w:next w:val="CommentText"/>
    <w:semiHidden/>
    <w:rsid w:val="007E6704"/>
    <w:rPr>
      <w:b/>
      <w:bCs/>
    </w:rPr>
  </w:style>
  <w:style w:type="paragraph" w:customStyle="1" w:styleId="CM3">
    <w:name w:val="CM3"/>
    <w:basedOn w:val="Normal"/>
    <w:next w:val="Normal"/>
    <w:uiPriority w:val="99"/>
    <w:rsid w:val="003B596F"/>
    <w:pPr>
      <w:autoSpaceDE w:val="0"/>
      <w:autoSpaceDN w:val="0"/>
      <w:adjustRightInd w:val="0"/>
      <w:spacing w:before="0" w:after="0" w:line="240" w:lineRule="auto"/>
      <w:jc w:val="left"/>
    </w:pPr>
    <w:rPr>
      <w:rFonts w:ascii="EUAlbertina" w:hAnsi="EUAlbertina"/>
      <w:sz w:val="24"/>
      <w:szCs w:val="24"/>
    </w:rPr>
  </w:style>
  <w:style w:type="paragraph" w:customStyle="1" w:styleId="CM4">
    <w:name w:val="CM4"/>
    <w:basedOn w:val="Normal"/>
    <w:next w:val="Normal"/>
    <w:uiPriority w:val="99"/>
    <w:rsid w:val="003B596F"/>
    <w:pPr>
      <w:autoSpaceDE w:val="0"/>
      <w:autoSpaceDN w:val="0"/>
      <w:adjustRightInd w:val="0"/>
      <w:spacing w:before="0" w:after="0" w:line="240" w:lineRule="auto"/>
      <w:jc w:val="left"/>
    </w:pPr>
    <w:rPr>
      <w:rFonts w:ascii="EUAlbertina" w:hAnsi="EUAlbertina"/>
      <w:sz w:val="24"/>
      <w:szCs w:val="24"/>
    </w:rPr>
  </w:style>
  <w:style w:type="paragraph" w:styleId="BodyText3">
    <w:name w:val="Body Text 3"/>
    <w:basedOn w:val="Normal"/>
    <w:rsid w:val="005E6553"/>
    <w:pPr>
      <w:spacing w:before="0" w:after="0" w:line="240" w:lineRule="auto"/>
    </w:pPr>
    <w:rPr>
      <w:rFonts w:ascii="Tahoma" w:hAnsi="Tahoma" w:cs="Tahoma"/>
      <w:sz w:val="22"/>
      <w:lang w:eastAsia="en-US"/>
    </w:rPr>
  </w:style>
  <w:style w:type="paragraph" w:customStyle="1" w:styleId="Default">
    <w:name w:val="Default"/>
    <w:rsid w:val="005E6553"/>
    <w:pPr>
      <w:autoSpaceDE w:val="0"/>
      <w:autoSpaceDN w:val="0"/>
      <w:adjustRightInd w:val="0"/>
    </w:pPr>
    <w:rPr>
      <w:rFonts w:ascii="Times New Roman" w:hAnsi="Times New Roman"/>
      <w:color w:val="000000"/>
      <w:sz w:val="24"/>
      <w:szCs w:val="24"/>
    </w:rPr>
  </w:style>
  <w:style w:type="paragraph" w:customStyle="1" w:styleId="Guidelines3">
    <w:name w:val="Guidelines 3"/>
    <w:basedOn w:val="Normal"/>
    <w:rsid w:val="005E6553"/>
    <w:pPr>
      <w:pBdr>
        <w:top w:val="single" w:sz="4" w:space="1" w:color="auto"/>
        <w:left w:val="single" w:sz="4" w:space="4" w:color="auto"/>
        <w:bottom w:val="single" w:sz="4" w:space="1" w:color="auto"/>
        <w:right w:val="single" w:sz="4" w:space="4" w:color="auto"/>
      </w:pBdr>
      <w:shd w:val="pct5" w:color="auto" w:fill="FFFFFF"/>
      <w:tabs>
        <w:tab w:val="left" w:pos="900"/>
      </w:tabs>
      <w:spacing w:before="240" w:after="240" w:line="240" w:lineRule="auto"/>
      <w:ind w:left="902" w:hanging="902"/>
    </w:pPr>
    <w:rPr>
      <w:rFonts w:ascii="Arial" w:hAnsi="Arial"/>
      <w:i/>
      <w:snapToGrid w:val="0"/>
      <w:sz w:val="22"/>
      <w:szCs w:val="20"/>
      <w:lang w:val="en-GB" w:eastAsia="en-US"/>
    </w:rPr>
  </w:style>
  <w:style w:type="paragraph" w:customStyle="1" w:styleId="Style29">
    <w:name w:val="Style29"/>
    <w:basedOn w:val="Normal"/>
    <w:rsid w:val="005E6553"/>
    <w:pPr>
      <w:widowControl w:val="0"/>
      <w:autoSpaceDE w:val="0"/>
      <w:autoSpaceDN w:val="0"/>
      <w:adjustRightInd w:val="0"/>
      <w:spacing w:before="0" w:after="0" w:line="230" w:lineRule="exact"/>
    </w:pPr>
    <w:rPr>
      <w:rFonts w:ascii="Times New Roman" w:hAnsi="Times New Roman"/>
      <w:sz w:val="24"/>
      <w:szCs w:val="24"/>
    </w:rPr>
  </w:style>
  <w:style w:type="character" w:customStyle="1" w:styleId="FontStyle40">
    <w:name w:val="Font Style40"/>
    <w:rsid w:val="005E6553"/>
    <w:rPr>
      <w:rFonts w:ascii="Times New Roman" w:hAnsi="Times New Roman" w:cs="Times New Roman"/>
      <w:b/>
      <w:bCs/>
      <w:sz w:val="22"/>
      <w:szCs w:val="22"/>
    </w:rPr>
  </w:style>
  <w:style w:type="character" w:customStyle="1" w:styleId="FontStyle41">
    <w:name w:val="Font Style41"/>
    <w:rsid w:val="005E6553"/>
    <w:rPr>
      <w:rFonts w:ascii="Times New Roman" w:hAnsi="Times New Roman" w:cs="Times New Roman"/>
      <w:b/>
      <w:bCs/>
      <w:sz w:val="20"/>
      <w:szCs w:val="20"/>
    </w:rPr>
  </w:style>
  <w:style w:type="character" w:customStyle="1" w:styleId="FontStyle42">
    <w:name w:val="Font Style42"/>
    <w:rsid w:val="005E6553"/>
    <w:rPr>
      <w:rFonts w:ascii="Times New Roman" w:hAnsi="Times New Roman" w:cs="Times New Roman"/>
      <w:sz w:val="18"/>
      <w:szCs w:val="18"/>
    </w:rPr>
  </w:style>
  <w:style w:type="paragraph" w:customStyle="1" w:styleId="Style32">
    <w:name w:val="Style32"/>
    <w:basedOn w:val="Normal"/>
    <w:rsid w:val="005E6553"/>
    <w:pPr>
      <w:widowControl w:val="0"/>
      <w:autoSpaceDE w:val="0"/>
      <w:autoSpaceDN w:val="0"/>
      <w:adjustRightInd w:val="0"/>
      <w:spacing w:before="0" w:after="0" w:line="230" w:lineRule="exact"/>
    </w:pPr>
    <w:rPr>
      <w:rFonts w:ascii="Times New Roman" w:hAnsi="Times New Roman"/>
      <w:sz w:val="24"/>
      <w:szCs w:val="24"/>
    </w:rPr>
  </w:style>
  <w:style w:type="paragraph" w:customStyle="1" w:styleId="Style33">
    <w:name w:val="Style33"/>
    <w:basedOn w:val="Normal"/>
    <w:rsid w:val="005E6553"/>
    <w:pPr>
      <w:widowControl w:val="0"/>
      <w:autoSpaceDE w:val="0"/>
      <w:autoSpaceDN w:val="0"/>
      <w:adjustRightInd w:val="0"/>
      <w:spacing w:before="0" w:after="0" w:line="230" w:lineRule="exact"/>
      <w:ind w:hanging="346"/>
    </w:pPr>
    <w:rPr>
      <w:rFonts w:ascii="Times New Roman" w:hAnsi="Times New Roman"/>
      <w:sz w:val="24"/>
      <w:szCs w:val="24"/>
    </w:rPr>
  </w:style>
  <w:style w:type="paragraph" w:customStyle="1" w:styleId="Style27">
    <w:name w:val="Style27"/>
    <w:basedOn w:val="Normal"/>
    <w:rsid w:val="005E6553"/>
    <w:pPr>
      <w:widowControl w:val="0"/>
      <w:autoSpaceDE w:val="0"/>
      <w:autoSpaceDN w:val="0"/>
      <w:adjustRightInd w:val="0"/>
      <w:spacing w:before="0" w:after="0" w:line="283" w:lineRule="exact"/>
      <w:ind w:firstLine="413"/>
      <w:jc w:val="left"/>
    </w:pPr>
    <w:rPr>
      <w:rFonts w:ascii="Times New Roman" w:hAnsi="Times New Roman"/>
      <w:sz w:val="24"/>
      <w:szCs w:val="24"/>
    </w:rPr>
  </w:style>
  <w:style w:type="table" w:styleId="TableGrid">
    <w:name w:val="Table Grid"/>
    <w:basedOn w:val="TableNormal"/>
    <w:uiPriority w:val="59"/>
    <w:rsid w:val="00DE58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quote">
    <w:name w:val="Blockquote"/>
    <w:basedOn w:val="Normal"/>
    <w:rsid w:val="0012214B"/>
    <w:pPr>
      <w:widowControl w:val="0"/>
      <w:spacing w:before="100" w:after="100" w:line="240" w:lineRule="auto"/>
      <w:ind w:left="360" w:right="360"/>
      <w:jc w:val="left"/>
    </w:pPr>
    <w:rPr>
      <w:rFonts w:ascii="Times New Roman" w:hAnsi="Times New Roman"/>
      <w:snapToGrid w:val="0"/>
      <w:sz w:val="24"/>
      <w:szCs w:val="20"/>
      <w:lang w:val="en-US" w:eastAsia="en-US"/>
    </w:rPr>
  </w:style>
  <w:style w:type="character" w:styleId="Strong">
    <w:name w:val="Strong"/>
    <w:uiPriority w:val="22"/>
    <w:qFormat/>
    <w:rsid w:val="000C5BD6"/>
    <w:rPr>
      <w:b/>
      <w:bCs/>
    </w:rPr>
  </w:style>
  <w:style w:type="paragraph" w:styleId="HTMLPreformatted">
    <w:name w:val="HTML Preformatted"/>
    <w:basedOn w:val="Normal"/>
    <w:link w:val="HTMLPreformattedChar"/>
    <w:uiPriority w:val="99"/>
    <w:semiHidden/>
    <w:unhideWhenUsed/>
    <w:rsid w:val="007F3B18"/>
    <w:rPr>
      <w:rFonts w:ascii="Courier New" w:hAnsi="Courier New" w:cs="Courier New"/>
      <w:sz w:val="20"/>
      <w:szCs w:val="20"/>
    </w:rPr>
  </w:style>
  <w:style w:type="character" w:customStyle="1" w:styleId="HTMLPreformattedChar">
    <w:name w:val="HTML Preformatted Char"/>
    <w:link w:val="HTMLPreformatted"/>
    <w:uiPriority w:val="99"/>
    <w:semiHidden/>
    <w:rsid w:val="007F3B18"/>
    <w:rPr>
      <w:rFonts w:ascii="Courier New" w:hAnsi="Courier New" w:cs="Courier New"/>
      <w:lang w:val="bg-BG" w:eastAsia="bg-BG"/>
    </w:rPr>
  </w:style>
  <w:style w:type="character" w:customStyle="1" w:styleId="CommentTextChar">
    <w:name w:val="Comment Text Char"/>
    <w:link w:val="CommentText"/>
    <w:uiPriority w:val="99"/>
    <w:rsid w:val="008B1BB3"/>
    <w:rPr>
      <w:rFonts w:ascii="Verdana" w:hAnsi="Verdana"/>
    </w:rPr>
  </w:style>
  <w:style w:type="paragraph" w:styleId="Revision">
    <w:name w:val="Revision"/>
    <w:hidden/>
    <w:uiPriority w:val="99"/>
    <w:semiHidden/>
    <w:rsid w:val="008B1BB3"/>
    <w:rPr>
      <w:rFonts w:ascii="Verdana" w:hAnsi="Verdana"/>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7374559">
      <w:bodyDiv w:val="1"/>
      <w:marLeft w:val="0"/>
      <w:marRight w:val="0"/>
      <w:marTop w:val="0"/>
      <w:marBottom w:val="0"/>
      <w:divBdr>
        <w:top w:val="none" w:sz="0" w:space="0" w:color="auto"/>
        <w:left w:val="none" w:sz="0" w:space="0" w:color="auto"/>
        <w:bottom w:val="none" w:sz="0" w:space="0" w:color="auto"/>
        <w:right w:val="none" w:sz="0" w:space="0" w:color="auto"/>
      </w:divBdr>
    </w:div>
    <w:div w:id="1884781856">
      <w:bodyDiv w:val="1"/>
      <w:marLeft w:val="0"/>
      <w:marRight w:val="0"/>
      <w:marTop w:val="0"/>
      <w:marBottom w:val="0"/>
      <w:divBdr>
        <w:top w:val="none" w:sz="0" w:space="0" w:color="auto"/>
        <w:left w:val="none" w:sz="0" w:space="0" w:color="auto"/>
        <w:bottom w:val="none" w:sz="0" w:space="0" w:color="auto"/>
        <w:right w:val="none" w:sz="0" w:space="0" w:color="auto"/>
      </w:divBdr>
    </w:div>
    <w:div w:id="1955283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F1B6A-45D4-46D4-99BC-DC9DDF33C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25</Pages>
  <Words>9358</Words>
  <Characters>53344</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European Economic Area (EEA) Financial Mechanism 2009-2014</vt:lpstr>
    </vt:vector>
  </TitlesOfParts>
  <Company/>
  <LinksUpToDate>false</LinksUpToDate>
  <CharactersWithSpaces>62577</CharactersWithSpaces>
  <SharedDoc>false</SharedDoc>
  <HLinks>
    <vt:vector size="192" baseType="variant">
      <vt:variant>
        <vt:i4>2490375</vt:i4>
      </vt:variant>
      <vt:variant>
        <vt:i4>188</vt:i4>
      </vt:variant>
      <vt:variant>
        <vt:i4>0</vt:i4>
      </vt:variant>
      <vt:variant>
        <vt:i4>5</vt:i4>
      </vt:variant>
      <vt:variant>
        <vt:lpwstr/>
      </vt:variant>
      <vt:variant>
        <vt:lpwstr>_Toc4745733</vt:lpwstr>
      </vt:variant>
      <vt:variant>
        <vt:i4>2490375</vt:i4>
      </vt:variant>
      <vt:variant>
        <vt:i4>182</vt:i4>
      </vt:variant>
      <vt:variant>
        <vt:i4>0</vt:i4>
      </vt:variant>
      <vt:variant>
        <vt:i4>5</vt:i4>
      </vt:variant>
      <vt:variant>
        <vt:lpwstr/>
      </vt:variant>
      <vt:variant>
        <vt:lpwstr>_Toc4745732</vt:lpwstr>
      </vt:variant>
      <vt:variant>
        <vt:i4>2490375</vt:i4>
      </vt:variant>
      <vt:variant>
        <vt:i4>176</vt:i4>
      </vt:variant>
      <vt:variant>
        <vt:i4>0</vt:i4>
      </vt:variant>
      <vt:variant>
        <vt:i4>5</vt:i4>
      </vt:variant>
      <vt:variant>
        <vt:lpwstr/>
      </vt:variant>
      <vt:variant>
        <vt:lpwstr>_Toc4745731</vt:lpwstr>
      </vt:variant>
      <vt:variant>
        <vt:i4>2490375</vt:i4>
      </vt:variant>
      <vt:variant>
        <vt:i4>170</vt:i4>
      </vt:variant>
      <vt:variant>
        <vt:i4>0</vt:i4>
      </vt:variant>
      <vt:variant>
        <vt:i4>5</vt:i4>
      </vt:variant>
      <vt:variant>
        <vt:lpwstr/>
      </vt:variant>
      <vt:variant>
        <vt:lpwstr>_Toc4745730</vt:lpwstr>
      </vt:variant>
      <vt:variant>
        <vt:i4>2555911</vt:i4>
      </vt:variant>
      <vt:variant>
        <vt:i4>164</vt:i4>
      </vt:variant>
      <vt:variant>
        <vt:i4>0</vt:i4>
      </vt:variant>
      <vt:variant>
        <vt:i4>5</vt:i4>
      </vt:variant>
      <vt:variant>
        <vt:lpwstr/>
      </vt:variant>
      <vt:variant>
        <vt:lpwstr>_Toc4745729</vt:lpwstr>
      </vt:variant>
      <vt:variant>
        <vt:i4>2555911</vt:i4>
      </vt:variant>
      <vt:variant>
        <vt:i4>158</vt:i4>
      </vt:variant>
      <vt:variant>
        <vt:i4>0</vt:i4>
      </vt:variant>
      <vt:variant>
        <vt:i4>5</vt:i4>
      </vt:variant>
      <vt:variant>
        <vt:lpwstr/>
      </vt:variant>
      <vt:variant>
        <vt:lpwstr>_Toc4745728</vt:lpwstr>
      </vt:variant>
      <vt:variant>
        <vt:i4>2555911</vt:i4>
      </vt:variant>
      <vt:variant>
        <vt:i4>152</vt:i4>
      </vt:variant>
      <vt:variant>
        <vt:i4>0</vt:i4>
      </vt:variant>
      <vt:variant>
        <vt:i4>5</vt:i4>
      </vt:variant>
      <vt:variant>
        <vt:lpwstr/>
      </vt:variant>
      <vt:variant>
        <vt:lpwstr>_Toc4745727</vt:lpwstr>
      </vt:variant>
      <vt:variant>
        <vt:i4>2555911</vt:i4>
      </vt:variant>
      <vt:variant>
        <vt:i4>146</vt:i4>
      </vt:variant>
      <vt:variant>
        <vt:i4>0</vt:i4>
      </vt:variant>
      <vt:variant>
        <vt:i4>5</vt:i4>
      </vt:variant>
      <vt:variant>
        <vt:lpwstr/>
      </vt:variant>
      <vt:variant>
        <vt:lpwstr>_Toc4745726</vt:lpwstr>
      </vt:variant>
      <vt:variant>
        <vt:i4>2555911</vt:i4>
      </vt:variant>
      <vt:variant>
        <vt:i4>140</vt:i4>
      </vt:variant>
      <vt:variant>
        <vt:i4>0</vt:i4>
      </vt:variant>
      <vt:variant>
        <vt:i4>5</vt:i4>
      </vt:variant>
      <vt:variant>
        <vt:lpwstr/>
      </vt:variant>
      <vt:variant>
        <vt:lpwstr>_Toc4745725</vt:lpwstr>
      </vt:variant>
      <vt:variant>
        <vt:i4>2555911</vt:i4>
      </vt:variant>
      <vt:variant>
        <vt:i4>134</vt:i4>
      </vt:variant>
      <vt:variant>
        <vt:i4>0</vt:i4>
      </vt:variant>
      <vt:variant>
        <vt:i4>5</vt:i4>
      </vt:variant>
      <vt:variant>
        <vt:lpwstr/>
      </vt:variant>
      <vt:variant>
        <vt:lpwstr>_Toc4745724</vt:lpwstr>
      </vt:variant>
      <vt:variant>
        <vt:i4>2555911</vt:i4>
      </vt:variant>
      <vt:variant>
        <vt:i4>128</vt:i4>
      </vt:variant>
      <vt:variant>
        <vt:i4>0</vt:i4>
      </vt:variant>
      <vt:variant>
        <vt:i4>5</vt:i4>
      </vt:variant>
      <vt:variant>
        <vt:lpwstr/>
      </vt:variant>
      <vt:variant>
        <vt:lpwstr>_Toc4745723</vt:lpwstr>
      </vt:variant>
      <vt:variant>
        <vt:i4>2555911</vt:i4>
      </vt:variant>
      <vt:variant>
        <vt:i4>122</vt:i4>
      </vt:variant>
      <vt:variant>
        <vt:i4>0</vt:i4>
      </vt:variant>
      <vt:variant>
        <vt:i4>5</vt:i4>
      </vt:variant>
      <vt:variant>
        <vt:lpwstr/>
      </vt:variant>
      <vt:variant>
        <vt:lpwstr>_Toc4745722</vt:lpwstr>
      </vt:variant>
      <vt:variant>
        <vt:i4>2555911</vt:i4>
      </vt:variant>
      <vt:variant>
        <vt:i4>116</vt:i4>
      </vt:variant>
      <vt:variant>
        <vt:i4>0</vt:i4>
      </vt:variant>
      <vt:variant>
        <vt:i4>5</vt:i4>
      </vt:variant>
      <vt:variant>
        <vt:lpwstr/>
      </vt:variant>
      <vt:variant>
        <vt:lpwstr>_Toc4745721</vt:lpwstr>
      </vt:variant>
      <vt:variant>
        <vt:i4>2555911</vt:i4>
      </vt:variant>
      <vt:variant>
        <vt:i4>110</vt:i4>
      </vt:variant>
      <vt:variant>
        <vt:i4>0</vt:i4>
      </vt:variant>
      <vt:variant>
        <vt:i4>5</vt:i4>
      </vt:variant>
      <vt:variant>
        <vt:lpwstr/>
      </vt:variant>
      <vt:variant>
        <vt:lpwstr>_Toc4745720</vt:lpwstr>
      </vt:variant>
      <vt:variant>
        <vt:i4>2359303</vt:i4>
      </vt:variant>
      <vt:variant>
        <vt:i4>104</vt:i4>
      </vt:variant>
      <vt:variant>
        <vt:i4>0</vt:i4>
      </vt:variant>
      <vt:variant>
        <vt:i4>5</vt:i4>
      </vt:variant>
      <vt:variant>
        <vt:lpwstr/>
      </vt:variant>
      <vt:variant>
        <vt:lpwstr>_Toc4745719</vt:lpwstr>
      </vt:variant>
      <vt:variant>
        <vt:i4>2359303</vt:i4>
      </vt:variant>
      <vt:variant>
        <vt:i4>98</vt:i4>
      </vt:variant>
      <vt:variant>
        <vt:i4>0</vt:i4>
      </vt:variant>
      <vt:variant>
        <vt:i4>5</vt:i4>
      </vt:variant>
      <vt:variant>
        <vt:lpwstr/>
      </vt:variant>
      <vt:variant>
        <vt:lpwstr>_Toc4745718</vt:lpwstr>
      </vt:variant>
      <vt:variant>
        <vt:i4>2359303</vt:i4>
      </vt:variant>
      <vt:variant>
        <vt:i4>92</vt:i4>
      </vt:variant>
      <vt:variant>
        <vt:i4>0</vt:i4>
      </vt:variant>
      <vt:variant>
        <vt:i4>5</vt:i4>
      </vt:variant>
      <vt:variant>
        <vt:lpwstr/>
      </vt:variant>
      <vt:variant>
        <vt:lpwstr>_Toc4745717</vt:lpwstr>
      </vt:variant>
      <vt:variant>
        <vt:i4>2359303</vt:i4>
      </vt:variant>
      <vt:variant>
        <vt:i4>86</vt:i4>
      </vt:variant>
      <vt:variant>
        <vt:i4>0</vt:i4>
      </vt:variant>
      <vt:variant>
        <vt:i4>5</vt:i4>
      </vt:variant>
      <vt:variant>
        <vt:lpwstr/>
      </vt:variant>
      <vt:variant>
        <vt:lpwstr>_Toc4745716</vt:lpwstr>
      </vt:variant>
      <vt:variant>
        <vt:i4>2359303</vt:i4>
      </vt:variant>
      <vt:variant>
        <vt:i4>80</vt:i4>
      </vt:variant>
      <vt:variant>
        <vt:i4>0</vt:i4>
      </vt:variant>
      <vt:variant>
        <vt:i4>5</vt:i4>
      </vt:variant>
      <vt:variant>
        <vt:lpwstr/>
      </vt:variant>
      <vt:variant>
        <vt:lpwstr>_Toc4745715</vt:lpwstr>
      </vt:variant>
      <vt:variant>
        <vt:i4>2359303</vt:i4>
      </vt:variant>
      <vt:variant>
        <vt:i4>74</vt:i4>
      </vt:variant>
      <vt:variant>
        <vt:i4>0</vt:i4>
      </vt:variant>
      <vt:variant>
        <vt:i4>5</vt:i4>
      </vt:variant>
      <vt:variant>
        <vt:lpwstr/>
      </vt:variant>
      <vt:variant>
        <vt:lpwstr>_Toc4745714</vt:lpwstr>
      </vt:variant>
      <vt:variant>
        <vt:i4>2359303</vt:i4>
      </vt:variant>
      <vt:variant>
        <vt:i4>68</vt:i4>
      </vt:variant>
      <vt:variant>
        <vt:i4>0</vt:i4>
      </vt:variant>
      <vt:variant>
        <vt:i4>5</vt:i4>
      </vt:variant>
      <vt:variant>
        <vt:lpwstr/>
      </vt:variant>
      <vt:variant>
        <vt:lpwstr>_Toc4745713</vt:lpwstr>
      </vt:variant>
      <vt:variant>
        <vt:i4>2359303</vt:i4>
      </vt:variant>
      <vt:variant>
        <vt:i4>62</vt:i4>
      </vt:variant>
      <vt:variant>
        <vt:i4>0</vt:i4>
      </vt:variant>
      <vt:variant>
        <vt:i4>5</vt:i4>
      </vt:variant>
      <vt:variant>
        <vt:lpwstr/>
      </vt:variant>
      <vt:variant>
        <vt:lpwstr>_Toc4745712</vt:lpwstr>
      </vt:variant>
      <vt:variant>
        <vt:i4>2359303</vt:i4>
      </vt:variant>
      <vt:variant>
        <vt:i4>56</vt:i4>
      </vt:variant>
      <vt:variant>
        <vt:i4>0</vt:i4>
      </vt:variant>
      <vt:variant>
        <vt:i4>5</vt:i4>
      </vt:variant>
      <vt:variant>
        <vt:lpwstr/>
      </vt:variant>
      <vt:variant>
        <vt:lpwstr>_Toc4745711</vt:lpwstr>
      </vt:variant>
      <vt:variant>
        <vt:i4>2359303</vt:i4>
      </vt:variant>
      <vt:variant>
        <vt:i4>50</vt:i4>
      </vt:variant>
      <vt:variant>
        <vt:i4>0</vt:i4>
      </vt:variant>
      <vt:variant>
        <vt:i4>5</vt:i4>
      </vt:variant>
      <vt:variant>
        <vt:lpwstr/>
      </vt:variant>
      <vt:variant>
        <vt:lpwstr>_Toc4745710</vt:lpwstr>
      </vt:variant>
      <vt:variant>
        <vt:i4>2424839</vt:i4>
      </vt:variant>
      <vt:variant>
        <vt:i4>44</vt:i4>
      </vt:variant>
      <vt:variant>
        <vt:i4>0</vt:i4>
      </vt:variant>
      <vt:variant>
        <vt:i4>5</vt:i4>
      </vt:variant>
      <vt:variant>
        <vt:lpwstr/>
      </vt:variant>
      <vt:variant>
        <vt:lpwstr>_Toc4745709</vt:lpwstr>
      </vt:variant>
      <vt:variant>
        <vt:i4>2424839</vt:i4>
      </vt:variant>
      <vt:variant>
        <vt:i4>38</vt:i4>
      </vt:variant>
      <vt:variant>
        <vt:i4>0</vt:i4>
      </vt:variant>
      <vt:variant>
        <vt:i4>5</vt:i4>
      </vt:variant>
      <vt:variant>
        <vt:lpwstr/>
      </vt:variant>
      <vt:variant>
        <vt:lpwstr>_Toc4745708</vt:lpwstr>
      </vt:variant>
      <vt:variant>
        <vt:i4>2424839</vt:i4>
      </vt:variant>
      <vt:variant>
        <vt:i4>32</vt:i4>
      </vt:variant>
      <vt:variant>
        <vt:i4>0</vt:i4>
      </vt:variant>
      <vt:variant>
        <vt:i4>5</vt:i4>
      </vt:variant>
      <vt:variant>
        <vt:lpwstr/>
      </vt:variant>
      <vt:variant>
        <vt:lpwstr>_Toc4745707</vt:lpwstr>
      </vt:variant>
      <vt:variant>
        <vt:i4>2424839</vt:i4>
      </vt:variant>
      <vt:variant>
        <vt:i4>26</vt:i4>
      </vt:variant>
      <vt:variant>
        <vt:i4>0</vt:i4>
      </vt:variant>
      <vt:variant>
        <vt:i4>5</vt:i4>
      </vt:variant>
      <vt:variant>
        <vt:lpwstr/>
      </vt:variant>
      <vt:variant>
        <vt:lpwstr>_Toc4745706</vt:lpwstr>
      </vt:variant>
      <vt:variant>
        <vt:i4>2424839</vt:i4>
      </vt:variant>
      <vt:variant>
        <vt:i4>20</vt:i4>
      </vt:variant>
      <vt:variant>
        <vt:i4>0</vt:i4>
      </vt:variant>
      <vt:variant>
        <vt:i4>5</vt:i4>
      </vt:variant>
      <vt:variant>
        <vt:lpwstr/>
      </vt:variant>
      <vt:variant>
        <vt:lpwstr>_Toc4745705</vt:lpwstr>
      </vt:variant>
      <vt:variant>
        <vt:i4>2424839</vt:i4>
      </vt:variant>
      <vt:variant>
        <vt:i4>14</vt:i4>
      </vt:variant>
      <vt:variant>
        <vt:i4>0</vt:i4>
      </vt:variant>
      <vt:variant>
        <vt:i4>5</vt:i4>
      </vt:variant>
      <vt:variant>
        <vt:lpwstr/>
      </vt:variant>
      <vt:variant>
        <vt:lpwstr>_Toc4745704</vt:lpwstr>
      </vt:variant>
      <vt:variant>
        <vt:i4>2424839</vt:i4>
      </vt:variant>
      <vt:variant>
        <vt:i4>8</vt:i4>
      </vt:variant>
      <vt:variant>
        <vt:i4>0</vt:i4>
      </vt:variant>
      <vt:variant>
        <vt:i4>5</vt:i4>
      </vt:variant>
      <vt:variant>
        <vt:lpwstr/>
      </vt:variant>
      <vt:variant>
        <vt:lpwstr>_Toc4745703</vt:lpwstr>
      </vt:variant>
      <vt:variant>
        <vt:i4>2424839</vt:i4>
      </vt:variant>
      <vt:variant>
        <vt:i4>2</vt:i4>
      </vt:variant>
      <vt:variant>
        <vt:i4>0</vt:i4>
      </vt:variant>
      <vt:variant>
        <vt:i4>5</vt:i4>
      </vt:variant>
      <vt:variant>
        <vt:lpwstr/>
      </vt:variant>
      <vt:variant>
        <vt:lpwstr>_Toc4745702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European Economic Area (EEA) Financial Mechanism 2009-2014</dc:title>
  <dc:creator>MEET</dc:creator>
  <cp:lastModifiedBy>Valentina</cp:lastModifiedBy>
  <cp:revision>16</cp:revision>
  <cp:lastPrinted>2019-09-30T14:11:00Z</cp:lastPrinted>
  <dcterms:created xsi:type="dcterms:W3CDTF">2019-10-15T11:22:00Z</dcterms:created>
  <dcterms:modified xsi:type="dcterms:W3CDTF">2019-11-14T08:04:00Z</dcterms:modified>
</cp:coreProperties>
</file>