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56FED" w14:textId="77777777" w:rsidR="00F47B9D" w:rsidRPr="00AD3E63" w:rsidRDefault="00F47B9D" w:rsidP="00AD3E63">
      <w:pPr>
        <w:pStyle w:val="Heading2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en-US"/>
        </w:rPr>
      </w:pPr>
      <w:bookmarkStart w:id="0" w:name="_Toc315868440"/>
      <w:bookmarkStart w:id="1" w:name="_Toc315868437"/>
      <w:r w:rsidRPr="00F47B9D">
        <w:rPr>
          <w:rFonts w:ascii="Times New Roman" w:hAnsi="Times New Roman" w:cs="Times New Roman"/>
          <w:bCs w:val="0"/>
          <w:i w:val="0"/>
          <w:iCs w:val="0"/>
          <w:sz w:val="26"/>
          <w:szCs w:val="26"/>
          <w:lang w:val="en-US"/>
        </w:rPr>
        <w:t>Fund for bilateral relations at Programme</w:t>
      </w:r>
      <w:r w:rsidRPr="003E0356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en-US"/>
        </w:rPr>
        <w:t xml:space="preserve"> </w:t>
      </w:r>
      <w:r w:rsidRPr="00F47B9D">
        <w:rPr>
          <w:rFonts w:ascii="Times New Roman" w:hAnsi="Times New Roman" w:cs="Times New Roman"/>
          <w:bCs w:val="0"/>
          <w:i w:val="0"/>
          <w:iCs w:val="0"/>
          <w:sz w:val="26"/>
          <w:szCs w:val="26"/>
          <w:lang w:val="en-US"/>
        </w:rPr>
        <w:t>level</w:t>
      </w:r>
      <w:bookmarkEnd w:id="0"/>
    </w:p>
    <w:p w14:paraId="7713962F" w14:textId="77777777" w:rsidR="00F47B9D" w:rsidRPr="00AD3E63" w:rsidRDefault="00F47B9D" w:rsidP="00AD3E63">
      <w:pPr>
        <w:pStyle w:val="Heading2"/>
        <w:spacing w:before="100" w:beforeAutospacing="1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</w:pPr>
      <w:r w:rsidRPr="003E0356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en-US"/>
        </w:rPr>
        <w:t>1.</w:t>
      </w:r>
      <w:r w:rsidRPr="003E035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</w:t>
      </w:r>
      <w:r w:rsidRPr="00AD3E63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en-US"/>
        </w:rPr>
        <w:t>Budget</w:t>
      </w:r>
      <w:r w:rsidRPr="00AD3E6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: </w:t>
      </w:r>
    </w:p>
    <w:p w14:paraId="45758707" w14:textId="77777777" w:rsidR="007F772F" w:rsidRPr="00AD3E63" w:rsidRDefault="0098790E" w:rsidP="00A91EB1">
      <w:pPr>
        <w:pStyle w:val="Style29"/>
        <w:widowControl/>
        <w:tabs>
          <w:tab w:val="left" w:pos="226"/>
        </w:tabs>
        <w:spacing w:before="120" w:line="320" w:lineRule="exact"/>
        <w:ind w:right="10"/>
        <w:rPr>
          <w:rStyle w:val="FontStyle42"/>
          <w:sz w:val="24"/>
          <w:szCs w:val="24"/>
          <w:lang w:eastAsia="en-US"/>
        </w:rPr>
      </w:pPr>
      <w:r w:rsidRPr="00AD3E63">
        <w:rPr>
          <w:rStyle w:val="FontStyle42"/>
          <w:b/>
          <w:sz w:val="24"/>
          <w:szCs w:val="24"/>
          <w:lang w:val="en-US" w:eastAsia="en-US"/>
        </w:rPr>
        <w:t>29 300</w:t>
      </w:r>
      <w:r w:rsidR="00A91EB1" w:rsidRPr="00AD3E63">
        <w:rPr>
          <w:rStyle w:val="FontStyle42"/>
          <w:b/>
          <w:sz w:val="24"/>
          <w:szCs w:val="24"/>
          <w:lang w:eastAsia="en-US"/>
        </w:rPr>
        <w:t xml:space="preserve"> </w:t>
      </w:r>
      <w:r w:rsidR="00F47B9D" w:rsidRPr="00AD3E63">
        <w:rPr>
          <w:rStyle w:val="FontStyle42"/>
          <w:b/>
          <w:sz w:val="24"/>
          <w:szCs w:val="24"/>
          <w:lang w:val="en-US" w:eastAsia="en-US"/>
        </w:rPr>
        <w:t>euro</w:t>
      </w:r>
      <w:r w:rsidR="00A91EB1" w:rsidRPr="00AD3E63">
        <w:rPr>
          <w:rStyle w:val="FontStyle42"/>
          <w:sz w:val="24"/>
          <w:szCs w:val="24"/>
          <w:lang w:eastAsia="en-US"/>
        </w:rPr>
        <w:t xml:space="preserve"> </w:t>
      </w:r>
    </w:p>
    <w:p w14:paraId="48C9FE6B" w14:textId="77777777" w:rsidR="00A91EB1" w:rsidRPr="00AD3E63" w:rsidRDefault="00A91EB1" w:rsidP="00A91EB1">
      <w:pPr>
        <w:jc w:val="both"/>
      </w:pPr>
    </w:p>
    <w:p w14:paraId="083237C6" w14:textId="77777777" w:rsidR="00A91EB1" w:rsidRPr="00AD3E63" w:rsidRDefault="00F47B9D" w:rsidP="00A91EB1">
      <w:pPr>
        <w:jc w:val="both"/>
        <w:rPr>
          <w:lang w:val="en-US"/>
        </w:rPr>
      </w:pPr>
      <w:r w:rsidRPr="00AD3E63">
        <w:rPr>
          <w:lang w:val="en-US"/>
        </w:rPr>
        <w:t xml:space="preserve">The Bilateral fund is open for applications </w:t>
      </w:r>
      <w:r w:rsidR="006B753F">
        <w:rPr>
          <w:lang w:val="en-US"/>
        </w:rPr>
        <w:t xml:space="preserve">for reimbursement </w:t>
      </w:r>
      <w:r w:rsidRPr="00AD3E63">
        <w:rPr>
          <w:lang w:val="en-US"/>
        </w:rPr>
        <w:t>until the</w:t>
      </w:r>
      <w:r w:rsidR="00E37703" w:rsidRPr="00AD3E63">
        <w:rPr>
          <w:lang w:val="en-US"/>
        </w:rPr>
        <w:t xml:space="preserve"> decision for financing</w:t>
      </w:r>
      <w:r w:rsidRPr="00AD3E63">
        <w:rPr>
          <w:lang w:val="en-US"/>
        </w:rPr>
        <w:t xml:space="preserve"> the pre-defined project</w:t>
      </w:r>
      <w:r w:rsidR="00E37703" w:rsidRPr="00AD3E63">
        <w:rPr>
          <w:lang w:val="en-US"/>
        </w:rPr>
        <w:t>s</w:t>
      </w:r>
      <w:r w:rsidRPr="00AD3E63">
        <w:rPr>
          <w:lang w:val="en-US"/>
        </w:rPr>
        <w:t xml:space="preserve"> or until the</w:t>
      </w:r>
      <w:r w:rsidR="006B753F">
        <w:rPr>
          <w:lang w:val="en-US"/>
        </w:rPr>
        <w:t xml:space="preserve"> Fund</w:t>
      </w:r>
      <w:r w:rsidRPr="00AD3E63">
        <w:rPr>
          <w:lang w:val="en-US"/>
        </w:rPr>
        <w:t xml:space="preserve"> sources are spent</w:t>
      </w:r>
      <w:r w:rsidR="00E37703" w:rsidRPr="00AD3E63">
        <w:t>.</w:t>
      </w:r>
    </w:p>
    <w:p w14:paraId="099265CC" w14:textId="77777777" w:rsidR="00AD3E63" w:rsidRDefault="00E37703" w:rsidP="00AD3E63">
      <w:pPr>
        <w:spacing w:before="100" w:beforeAutospacing="1"/>
        <w:jc w:val="both"/>
        <w:rPr>
          <w:lang w:val="en-US"/>
        </w:rPr>
      </w:pPr>
      <w:r w:rsidRPr="00AD3E63">
        <w:rPr>
          <w:b/>
          <w:lang w:val="en-US"/>
        </w:rPr>
        <w:t>2. Aim</w:t>
      </w:r>
      <w:r w:rsidRPr="00AD3E63">
        <w:rPr>
          <w:lang w:val="en-US"/>
        </w:rPr>
        <w:t xml:space="preserve">: </w:t>
      </w:r>
    </w:p>
    <w:p w14:paraId="505805CB" w14:textId="77777777" w:rsidR="00E37703" w:rsidRPr="00AD3E63" w:rsidRDefault="00E37703" w:rsidP="00A91EB1">
      <w:pPr>
        <w:jc w:val="both"/>
        <w:rPr>
          <w:lang w:val="en-US"/>
        </w:rPr>
      </w:pPr>
      <w:r w:rsidRPr="00AD3E63">
        <w:rPr>
          <w:lang w:val="en-US"/>
        </w:rPr>
        <w:t>Search for project partners from the Donor States prior to or during the preparation of a proj</w:t>
      </w:r>
      <w:r w:rsidR="000E08C4">
        <w:rPr>
          <w:lang w:val="en-US"/>
        </w:rPr>
        <w:t>ect application for pre-defined</w:t>
      </w:r>
      <w:r w:rsidR="000E08C4">
        <w:t xml:space="preserve"> </w:t>
      </w:r>
      <w:r w:rsidR="000E08C4">
        <w:rPr>
          <w:lang w:val="en-US"/>
        </w:rPr>
        <w:t>project</w:t>
      </w:r>
      <w:r w:rsidRPr="00AD3E63">
        <w:rPr>
          <w:lang w:val="en-US"/>
        </w:rPr>
        <w:t>, strengthening the partnership relations, signing the partner agreements, exchange of experience, transfer of knowledge, technologies, and best practices between the project promoters and partners from the Donor states.</w:t>
      </w:r>
    </w:p>
    <w:p w14:paraId="5BE32FE9" w14:textId="77777777" w:rsidR="00AD3E63" w:rsidRDefault="001D32A8" w:rsidP="00AD3E63">
      <w:pPr>
        <w:spacing w:before="100" w:beforeAutospacing="1"/>
        <w:jc w:val="both"/>
        <w:rPr>
          <w:b/>
          <w:lang w:val="en-US"/>
        </w:rPr>
      </w:pPr>
      <w:r w:rsidRPr="00AD3E63">
        <w:rPr>
          <w:rStyle w:val="FontStyle42"/>
          <w:b/>
          <w:sz w:val="24"/>
          <w:szCs w:val="24"/>
          <w:lang w:eastAsia="en-US"/>
        </w:rPr>
        <w:t>3.</w:t>
      </w:r>
      <w:r w:rsidRPr="00AD3E63">
        <w:rPr>
          <w:rStyle w:val="FontStyle42"/>
          <w:sz w:val="24"/>
          <w:szCs w:val="24"/>
          <w:lang w:eastAsia="en-US"/>
        </w:rPr>
        <w:t xml:space="preserve"> </w:t>
      </w:r>
      <w:r w:rsidR="00E37703" w:rsidRPr="00AD3E63">
        <w:rPr>
          <w:b/>
          <w:lang w:val="en-US"/>
        </w:rPr>
        <w:t xml:space="preserve">Eligible applicants: </w:t>
      </w:r>
    </w:p>
    <w:p w14:paraId="35B1DE74" w14:textId="1BA1FB96" w:rsidR="00E37703" w:rsidRPr="000E08C4" w:rsidRDefault="00E37703" w:rsidP="000E08C4">
      <w:pPr>
        <w:jc w:val="both"/>
      </w:pPr>
      <w:r w:rsidRPr="00AD3E63">
        <w:rPr>
          <w:lang w:val="en-US"/>
        </w:rPr>
        <w:t>Project promoters from all pre-defined projects under the Local development, poverty reduction and enhanced inclusion of vulnerable groups Programme, and potential partners from the Donor States</w:t>
      </w:r>
      <w:r w:rsidRPr="00AD3E63">
        <w:rPr>
          <w:b/>
          <w:lang w:val="en-US"/>
        </w:rPr>
        <w:t xml:space="preserve">. </w:t>
      </w:r>
      <w:r w:rsidRPr="00AD3E63">
        <w:rPr>
          <w:lang w:val="en-US"/>
        </w:rPr>
        <w:t>The stakeholders shall submit a</w:t>
      </w:r>
      <w:r w:rsidR="00931D5D">
        <w:rPr>
          <w:lang w:val="en-US"/>
        </w:rPr>
        <w:t>n application</w:t>
      </w:r>
      <w:r w:rsidRPr="00AD3E63">
        <w:rPr>
          <w:lang w:val="en-US"/>
        </w:rPr>
        <w:t xml:space="preserve"> for prior approval. Funding will be considered as an additional source of funding, i.e. other than the project budget.</w:t>
      </w:r>
      <w:r w:rsidR="006B753F">
        <w:rPr>
          <w:lang w:val="en-US"/>
        </w:rPr>
        <w:t xml:space="preserve"> Due to the limited financial resource, up to two representatives </w:t>
      </w:r>
      <w:r w:rsidR="00A60149">
        <w:rPr>
          <w:lang w:val="en-US"/>
        </w:rPr>
        <w:t xml:space="preserve">per Project </w:t>
      </w:r>
      <w:r w:rsidR="00A60149">
        <w:t>Promoter</w:t>
      </w:r>
      <w:r w:rsidR="00A60149">
        <w:rPr>
          <w:lang w:val="en-US"/>
        </w:rPr>
        <w:t xml:space="preserve"> </w:t>
      </w:r>
      <w:r w:rsidR="00A60149">
        <w:rPr>
          <w:lang w:val="en-US"/>
        </w:rPr>
        <w:t xml:space="preserve">(both from the potential </w:t>
      </w:r>
      <w:r w:rsidR="00A60149">
        <w:rPr>
          <w:lang w:val="en-US"/>
        </w:rPr>
        <w:t>Applicant and</w:t>
      </w:r>
      <w:r w:rsidR="00A60149">
        <w:rPr>
          <w:lang w:val="en-US"/>
        </w:rPr>
        <w:t xml:space="preserve"> its Bulgarian project partner)</w:t>
      </w:r>
      <w:r w:rsidR="00A60149">
        <w:rPr>
          <w:lang w:val="en-US"/>
        </w:rPr>
        <w:t xml:space="preserve"> </w:t>
      </w:r>
      <w:r w:rsidR="002E4F1C">
        <w:rPr>
          <w:lang w:val="en-US"/>
        </w:rPr>
        <w:t xml:space="preserve">can take </w:t>
      </w:r>
      <w:r w:rsidR="00A60149">
        <w:rPr>
          <w:lang w:val="en-US"/>
        </w:rPr>
        <w:t>part in</w:t>
      </w:r>
      <w:r w:rsidR="002E4F1C">
        <w:rPr>
          <w:lang w:val="en-US"/>
        </w:rPr>
        <w:t xml:space="preserve"> the visit to donor-country </w:t>
      </w:r>
      <w:r w:rsidR="00931D5D">
        <w:rPr>
          <w:lang w:val="en-US"/>
        </w:rPr>
        <w:t xml:space="preserve">or </w:t>
      </w:r>
      <w:r w:rsidR="002E4F1C">
        <w:rPr>
          <w:lang w:val="en-US"/>
        </w:rPr>
        <w:t xml:space="preserve">up to two representatives from </w:t>
      </w:r>
      <w:r w:rsidR="00A60149">
        <w:rPr>
          <w:lang w:val="en-US"/>
        </w:rPr>
        <w:t xml:space="preserve">the </w:t>
      </w:r>
      <w:r w:rsidR="00931D5D">
        <w:rPr>
          <w:lang w:val="en-US"/>
        </w:rPr>
        <w:t>Donor project partner</w:t>
      </w:r>
      <w:r w:rsidR="000E08C4">
        <w:rPr>
          <w:lang w:val="en-US"/>
        </w:rPr>
        <w:t xml:space="preserve"> can take part in </w:t>
      </w:r>
      <w:r w:rsidR="00931D5D">
        <w:rPr>
          <w:lang w:val="en-US"/>
        </w:rPr>
        <w:t xml:space="preserve">the visit to </w:t>
      </w:r>
      <w:r w:rsidR="002E4F1C">
        <w:rPr>
          <w:lang w:val="en-US"/>
        </w:rPr>
        <w:t>Bulgaria.</w:t>
      </w:r>
    </w:p>
    <w:p w14:paraId="03AFD5B2" w14:textId="77777777" w:rsidR="00AD3E63" w:rsidRDefault="00ED7F36" w:rsidP="00AD3E63">
      <w:pPr>
        <w:pStyle w:val="Style33"/>
        <w:widowControl/>
        <w:tabs>
          <w:tab w:val="num" w:pos="0"/>
          <w:tab w:val="left" w:pos="365"/>
        </w:tabs>
        <w:spacing w:before="100" w:beforeAutospacing="1" w:line="240" w:lineRule="auto"/>
        <w:ind w:firstLine="0"/>
        <w:rPr>
          <w:rStyle w:val="FontStyle42"/>
          <w:sz w:val="24"/>
          <w:szCs w:val="24"/>
          <w:lang w:val="en-US" w:eastAsia="en-US"/>
        </w:rPr>
      </w:pPr>
      <w:r w:rsidRPr="00AD3E63">
        <w:rPr>
          <w:rStyle w:val="FontStyle42"/>
          <w:b/>
          <w:sz w:val="24"/>
          <w:szCs w:val="24"/>
          <w:lang w:eastAsia="en-US"/>
        </w:rPr>
        <w:t xml:space="preserve">4. </w:t>
      </w:r>
      <w:r w:rsidR="00E37703" w:rsidRPr="00AD3E63">
        <w:rPr>
          <w:rStyle w:val="FontStyle42"/>
          <w:b/>
          <w:sz w:val="24"/>
          <w:szCs w:val="24"/>
          <w:lang w:val="en-US" w:eastAsia="en-US"/>
        </w:rPr>
        <w:t>Eligible expenditures</w:t>
      </w:r>
      <w:r w:rsidR="00AD3E63" w:rsidRPr="00AD3E63">
        <w:rPr>
          <w:rStyle w:val="FontStyle42"/>
          <w:b/>
          <w:sz w:val="24"/>
          <w:szCs w:val="24"/>
          <w:lang w:eastAsia="en-US"/>
        </w:rPr>
        <w:t>:</w:t>
      </w:r>
    </w:p>
    <w:p w14:paraId="0BA5C112" w14:textId="0EA5A4C0" w:rsidR="00525AF6" w:rsidRPr="00AD3E63" w:rsidRDefault="00E37703" w:rsidP="00AD3E63">
      <w:pPr>
        <w:pStyle w:val="Style33"/>
        <w:widowControl/>
        <w:tabs>
          <w:tab w:val="num" w:pos="0"/>
          <w:tab w:val="left" w:pos="365"/>
        </w:tabs>
        <w:spacing w:before="75" w:line="240" w:lineRule="auto"/>
        <w:ind w:firstLine="0"/>
        <w:rPr>
          <w:lang w:val="en-US"/>
        </w:rPr>
      </w:pPr>
      <w:r w:rsidRPr="00AD3E63">
        <w:rPr>
          <w:lang w:val="en-US"/>
        </w:rPr>
        <w:t xml:space="preserve">Daily allowance, accommodations, </w:t>
      </w:r>
      <w:r w:rsidR="002B77E5" w:rsidRPr="00AD3E63">
        <w:rPr>
          <w:lang w:val="en-US"/>
        </w:rPr>
        <w:t>travel</w:t>
      </w:r>
      <w:r w:rsidRPr="00AD3E63">
        <w:rPr>
          <w:lang w:val="en-US"/>
        </w:rPr>
        <w:t xml:space="preserve"> costs, according to</w:t>
      </w:r>
      <w:r w:rsidR="00D82CE3">
        <w:t xml:space="preserve"> </w:t>
      </w:r>
      <w:r w:rsidR="00D82CE3">
        <w:rPr>
          <w:lang w:val="en-US"/>
        </w:rPr>
        <w:t>the</w:t>
      </w:r>
      <w:r w:rsidRPr="00AD3E63">
        <w:rPr>
          <w:lang w:val="en-US"/>
        </w:rPr>
        <w:t xml:space="preserve"> national legislation (The Ordinance of the official missions and specializations abroad), internal transport in the Donor State</w:t>
      </w:r>
      <w:r w:rsidR="00202346">
        <w:rPr>
          <w:lang w:val="en-US"/>
        </w:rPr>
        <w:t>/Beneficiary state</w:t>
      </w:r>
      <w:r w:rsidRPr="00AD3E63">
        <w:rPr>
          <w:lang w:val="en-US"/>
        </w:rPr>
        <w:t>, expenditures for meetings with partners.</w:t>
      </w:r>
      <w:r w:rsidRPr="00AD3E63">
        <w:rPr>
          <w:b/>
          <w:bCs/>
          <w:lang w:val="en-US"/>
        </w:rPr>
        <w:t xml:space="preserve"> </w:t>
      </w:r>
    </w:p>
    <w:p w14:paraId="70EC73E0" w14:textId="77777777" w:rsidR="0046295E" w:rsidRPr="00AD3E63" w:rsidRDefault="00E37703" w:rsidP="00AD3E63">
      <w:pPr>
        <w:pStyle w:val="Style29"/>
        <w:widowControl/>
        <w:tabs>
          <w:tab w:val="num" w:pos="0"/>
          <w:tab w:val="left" w:pos="360"/>
        </w:tabs>
        <w:spacing w:before="100" w:beforeAutospacing="1" w:line="320" w:lineRule="exact"/>
        <w:jc w:val="left"/>
        <w:rPr>
          <w:rStyle w:val="FontStyle42"/>
          <w:sz w:val="24"/>
          <w:szCs w:val="24"/>
          <w:lang w:eastAsia="en-US"/>
        </w:rPr>
      </w:pPr>
      <w:r w:rsidRPr="00AD3E63">
        <w:rPr>
          <w:rStyle w:val="FontStyle42"/>
          <w:b/>
          <w:sz w:val="24"/>
          <w:szCs w:val="24"/>
          <w:lang w:eastAsia="en-US"/>
        </w:rPr>
        <w:t>5</w:t>
      </w:r>
      <w:r w:rsidR="0046295E" w:rsidRPr="00AD3E63">
        <w:rPr>
          <w:rStyle w:val="FontStyle42"/>
          <w:b/>
          <w:sz w:val="24"/>
          <w:szCs w:val="24"/>
          <w:lang w:eastAsia="en-US"/>
        </w:rPr>
        <w:t>.</w:t>
      </w:r>
      <w:r w:rsidR="0046295E" w:rsidRPr="00AD3E63">
        <w:rPr>
          <w:rStyle w:val="FontStyle42"/>
          <w:sz w:val="24"/>
          <w:szCs w:val="24"/>
          <w:lang w:eastAsia="en-US"/>
        </w:rPr>
        <w:t xml:space="preserve"> </w:t>
      </w:r>
      <w:r w:rsidRPr="00AD3E63">
        <w:rPr>
          <w:b/>
          <w:lang w:val="en-US"/>
        </w:rPr>
        <w:t>Applicants will be required to submit (in English):</w:t>
      </w:r>
    </w:p>
    <w:p w14:paraId="3A265C40" w14:textId="303D6D14" w:rsidR="00E37703" w:rsidRPr="00AD3E63" w:rsidRDefault="00E37703" w:rsidP="00AD3E63">
      <w:pPr>
        <w:pStyle w:val="Style29"/>
        <w:tabs>
          <w:tab w:val="num" w:pos="0"/>
          <w:tab w:val="left" w:pos="360"/>
        </w:tabs>
        <w:spacing w:before="120" w:line="240" w:lineRule="auto"/>
        <w:rPr>
          <w:rStyle w:val="FontStyle42"/>
          <w:sz w:val="24"/>
          <w:szCs w:val="24"/>
          <w:lang w:eastAsia="en-US"/>
        </w:rPr>
      </w:pPr>
      <w:r w:rsidRPr="00AD3E63">
        <w:rPr>
          <w:rStyle w:val="FontStyle42"/>
          <w:sz w:val="24"/>
          <w:szCs w:val="24"/>
          <w:lang w:val="en-US" w:eastAsia="en-US"/>
        </w:rPr>
        <w:t xml:space="preserve">The </w:t>
      </w:r>
      <w:r w:rsidR="00931D5D">
        <w:rPr>
          <w:rStyle w:val="FontStyle42"/>
          <w:sz w:val="24"/>
          <w:szCs w:val="24"/>
          <w:lang w:val="en-US" w:eastAsia="en-US"/>
        </w:rPr>
        <w:t>application</w:t>
      </w:r>
      <w:r w:rsidR="00931D5D" w:rsidRPr="00AD3E63">
        <w:rPr>
          <w:rStyle w:val="FontStyle42"/>
          <w:sz w:val="24"/>
          <w:szCs w:val="24"/>
          <w:lang w:val="en-US" w:eastAsia="en-US"/>
        </w:rPr>
        <w:t xml:space="preserve"> </w:t>
      </w:r>
      <w:r w:rsidRPr="00AD3E63">
        <w:rPr>
          <w:rStyle w:val="FontStyle42"/>
          <w:sz w:val="24"/>
          <w:szCs w:val="24"/>
          <w:lang w:val="en-US" w:eastAsia="en-US"/>
        </w:rPr>
        <w:t>for prior approval</w:t>
      </w:r>
      <w:bookmarkStart w:id="2" w:name="_GoBack"/>
      <w:bookmarkEnd w:id="2"/>
      <w:r w:rsidRPr="00AD3E63">
        <w:rPr>
          <w:rStyle w:val="FontStyle42"/>
          <w:sz w:val="24"/>
          <w:szCs w:val="24"/>
          <w:lang w:val="en-US" w:eastAsia="en-US"/>
        </w:rPr>
        <w:t xml:space="preserve"> along with </w:t>
      </w:r>
      <w:r w:rsidR="00D82CE3">
        <w:rPr>
          <w:rStyle w:val="FontStyle42"/>
          <w:sz w:val="24"/>
          <w:szCs w:val="24"/>
          <w:lang w:val="en-US" w:eastAsia="en-US"/>
        </w:rPr>
        <w:t xml:space="preserve">the </w:t>
      </w:r>
      <w:r w:rsidR="00931D5D">
        <w:rPr>
          <w:rStyle w:val="FontStyle42"/>
          <w:sz w:val="24"/>
          <w:szCs w:val="24"/>
          <w:lang w:val="en-US" w:eastAsia="en-US"/>
        </w:rPr>
        <w:t xml:space="preserve">invitation letter, </w:t>
      </w:r>
      <w:r w:rsidRPr="00AD3E63">
        <w:rPr>
          <w:rStyle w:val="FontStyle42"/>
          <w:sz w:val="24"/>
          <w:szCs w:val="24"/>
          <w:lang w:val="en-US" w:eastAsia="en-US"/>
        </w:rPr>
        <w:t>detailed description of the activities and e</w:t>
      </w:r>
      <w:r w:rsidRPr="00AD3E63">
        <w:rPr>
          <w:lang w:val="en-US"/>
        </w:rPr>
        <w:t>stimated budget</w:t>
      </w:r>
      <w:r w:rsidRPr="00AD3E63">
        <w:rPr>
          <w:rStyle w:val="FontStyle42"/>
          <w:sz w:val="24"/>
          <w:szCs w:val="24"/>
          <w:lang w:eastAsia="en-US"/>
        </w:rPr>
        <w:t>.</w:t>
      </w:r>
      <w:r w:rsidR="00AD3E63">
        <w:rPr>
          <w:rStyle w:val="FontStyle42"/>
          <w:sz w:val="24"/>
          <w:szCs w:val="24"/>
          <w:lang w:val="en-US" w:eastAsia="en-US"/>
        </w:rPr>
        <w:t xml:space="preserve"> </w:t>
      </w:r>
      <w:r w:rsidRPr="00AD3E63">
        <w:rPr>
          <w:lang w:val="en-US"/>
        </w:rPr>
        <w:t>The deadline for submission of the request is two weeks before the planned activity</w:t>
      </w:r>
      <w:r w:rsidR="008E5AFC" w:rsidRPr="00AD3E63">
        <w:rPr>
          <w:rStyle w:val="FontStyle42"/>
          <w:sz w:val="24"/>
          <w:szCs w:val="24"/>
          <w:lang w:eastAsia="en-US"/>
        </w:rPr>
        <w:t>.</w:t>
      </w:r>
    </w:p>
    <w:p w14:paraId="6CADD119" w14:textId="77777777" w:rsidR="00E37703" w:rsidRPr="00AD3E63" w:rsidRDefault="00E37703" w:rsidP="00AD3E63">
      <w:pPr>
        <w:spacing w:before="100" w:beforeAutospacing="1"/>
        <w:jc w:val="both"/>
        <w:rPr>
          <w:b/>
          <w:lang w:val="en-US"/>
        </w:rPr>
      </w:pPr>
      <w:r w:rsidRPr="00AD3E63">
        <w:rPr>
          <w:rStyle w:val="FontStyle42"/>
          <w:b/>
          <w:sz w:val="24"/>
          <w:szCs w:val="24"/>
          <w:lang w:eastAsia="en-US"/>
        </w:rPr>
        <w:t>6</w:t>
      </w:r>
      <w:r w:rsidR="008E5AFC" w:rsidRPr="00AD3E63">
        <w:rPr>
          <w:rStyle w:val="FontStyle42"/>
          <w:b/>
          <w:sz w:val="24"/>
          <w:szCs w:val="24"/>
          <w:lang w:eastAsia="en-US"/>
        </w:rPr>
        <w:t xml:space="preserve">. </w:t>
      </w:r>
      <w:r w:rsidR="00AD3E63">
        <w:rPr>
          <w:b/>
          <w:lang w:val="en-US"/>
        </w:rPr>
        <w:t>Grant rate and maximum amount:</w:t>
      </w:r>
    </w:p>
    <w:p w14:paraId="633BA1B8" w14:textId="77777777" w:rsidR="00E37703" w:rsidRPr="00AD3E63" w:rsidRDefault="00E37703" w:rsidP="00E37703">
      <w:pPr>
        <w:jc w:val="both"/>
        <w:rPr>
          <w:lang w:val="en-US"/>
        </w:rPr>
      </w:pPr>
      <w:r w:rsidRPr="00AD3E63">
        <w:rPr>
          <w:lang w:val="en-US"/>
        </w:rPr>
        <w:t>Grant rate – 100%;</w:t>
      </w:r>
    </w:p>
    <w:p w14:paraId="01B7F095" w14:textId="77777777" w:rsidR="00E37703" w:rsidRPr="00AD3E63" w:rsidRDefault="00E37703" w:rsidP="00E37703">
      <w:pPr>
        <w:jc w:val="both"/>
        <w:rPr>
          <w:lang w:val="en-US"/>
        </w:rPr>
      </w:pPr>
      <w:r w:rsidRPr="00AD3E63">
        <w:rPr>
          <w:lang w:val="en-US"/>
        </w:rPr>
        <w:t xml:space="preserve">Maximum amount of funding </w:t>
      </w:r>
      <w:r w:rsidR="002B77E5" w:rsidRPr="00AD3E63">
        <w:rPr>
          <w:lang w:val="en-US"/>
        </w:rPr>
        <w:t xml:space="preserve">– </w:t>
      </w:r>
      <w:r w:rsidRPr="00AD3E63">
        <w:rPr>
          <w:lang w:val="en-US"/>
        </w:rPr>
        <w:t>travel costs, daily expenses,</w:t>
      </w:r>
      <w:r w:rsidR="002B77E5" w:rsidRPr="00AD3E63">
        <w:rPr>
          <w:lang w:val="en-US"/>
        </w:rPr>
        <w:t xml:space="preserve"> accommodation, internal transport and expenditures</w:t>
      </w:r>
      <w:r w:rsidR="002B77E5" w:rsidRPr="00AD3E63">
        <w:rPr>
          <w:rStyle w:val="FontStyle42"/>
          <w:sz w:val="24"/>
          <w:szCs w:val="24"/>
          <w:lang w:val="en-US" w:eastAsia="en-US"/>
        </w:rPr>
        <w:t xml:space="preserve"> </w:t>
      </w:r>
      <w:r w:rsidR="002B77E5" w:rsidRPr="00AD3E63">
        <w:rPr>
          <w:lang w:val="en-US"/>
        </w:rPr>
        <w:t>for meetings with partners –</w:t>
      </w:r>
      <w:r w:rsidRPr="00AD3E63">
        <w:rPr>
          <w:lang w:val="en-US"/>
        </w:rPr>
        <w:t xml:space="preserve"> </w:t>
      </w:r>
      <w:r w:rsidRPr="00AD3E63">
        <w:rPr>
          <w:b/>
          <w:lang w:val="en-US"/>
        </w:rPr>
        <w:t>€ 3,000 per person</w:t>
      </w:r>
      <w:r w:rsidRPr="00AD3E63">
        <w:rPr>
          <w:lang w:val="en-US"/>
        </w:rPr>
        <w:t>.</w:t>
      </w:r>
    </w:p>
    <w:p w14:paraId="0895245A" w14:textId="77777777" w:rsidR="008E5AFC" w:rsidRPr="00AD3E63" w:rsidRDefault="00E37703" w:rsidP="00AD3E63">
      <w:pPr>
        <w:pStyle w:val="Style29"/>
        <w:tabs>
          <w:tab w:val="left" w:pos="0"/>
        </w:tabs>
        <w:spacing w:before="100" w:beforeAutospacing="1" w:line="320" w:lineRule="exact"/>
        <w:ind w:right="10"/>
        <w:rPr>
          <w:rStyle w:val="FontStyle42"/>
          <w:b/>
          <w:sz w:val="24"/>
          <w:szCs w:val="24"/>
        </w:rPr>
      </w:pPr>
      <w:r w:rsidRPr="00AD3E63">
        <w:rPr>
          <w:rStyle w:val="FontStyle42"/>
          <w:b/>
          <w:sz w:val="24"/>
          <w:szCs w:val="24"/>
        </w:rPr>
        <w:t>7</w:t>
      </w:r>
      <w:r w:rsidR="008E5AFC" w:rsidRPr="00AD3E63">
        <w:rPr>
          <w:rStyle w:val="FontStyle42"/>
          <w:b/>
          <w:sz w:val="24"/>
          <w:szCs w:val="24"/>
        </w:rPr>
        <w:t xml:space="preserve">. </w:t>
      </w:r>
      <w:r w:rsidR="002B77E5" w:rsidRPr="00AD3E63">
        <w:rPr>
          <w:b/>
          <w:lang w:val="en-US"/>
        </w:rPr>
        <w:t>Evaluation of applications</w:t>
      </w:r>
      <w:r w:rsidR="002B77E5" w:rsidRPr="00AD3E63">
        <w:rPr>
          <w:rStyle w:val="FontStyle41"/>
          <w:b w:val="0"/>
          <w:sz w:val="24"/>
          <w:szCs w:val="24"/>
        </w:rPr>
        <w:t>:</w:t>
      </w:r>
    </w:p>
    <w:p w14:paraId="5CA04838" w14:textId="77777777" w:rsidR="002B77E5" w:rsidRPr="00AD3E63" w:rsidRDefault="002B77E5" w:rsidP="002B77E5">
      <w:pPr>
        <w:jc w:val="both"/>
        <w:rPr>
          <w:lang w:val="en-US"/>
        </w:rPr>
      </w:pPr>
      <w:r w:rsidRPr="00AD3E63">
        <w:rPr>
          <w:lang w:val="en-US"/>
        </w:rPr>
        <w:t>The External European Programmes Directorate (EEPD) at the Mi</w:t>
      </w:r>
      <w:r w:rsidR="006B753F">
        <w:rPr>
          <w:lang w:val="en-US"/>
        </w:rPr>
        <w:t xml:space="preserve">nistry of Education and Science, as Programme operator </w:t>
      </w:r>
      <w:r w:rsidRPr="00AD3E63">
        <w:rPr>
          <w:lang w:val="en-US"/>
        </w:rPr>
        <w:t xml:space="preserve">approve / </w:t>
      </w:r>
      <w:r w:rsidR="00DA4D63">
        <w:rPr>
          <w:lang w:val="en-US"/>
        </w:rPr>
        <w:t xml:space="preserve">does </w:t>
      </w:r>
      <w:r w:rsidRPr="00AD3E63">
        <w:rPr>
          <w:lang w:val="en-US"/>
        </w:rPr>
        <w:t>not approve the request for prior approval in 3 (three)</w:t>
      </w:r>
      <w:r w:rsidR="00D82CE3">
        <w:rPr>
          <w:lang w:val="en-US"/>
        </w:rPr>
        <w:t xml:space="preserve"> working days after receiving</w:t>
      </w:r>
      <w:r w:rsidRPr="00AD3E63">
        <w:rPr>
          <w:lang w:val="en-US"/>
        </w:rPr>
        <w:t xml:space="preserve"> the application. The applicants will be notified for the decision by electronically signed e-mail.</w:t>
      </w:r>
    </w:p>
    <w:p w14:paraId="0BFF6DAB" w14:textId="77777777" w:rsidR="002B77E5" w:rsidRPr="00AD3E63" w:rsidRDefault="002B77E5" w:rsidP="002B77E5">
      <w:pPr>
        <w:jc w:val="both"/>
        <w:rPr>
          <w:lang w:val="en-US"/>
        </w:rPr>
      </w:pPr>
    </w:p>
    <w:p w14:paraId="611F01CD" w14:textId="77777777" w:rsidR="002B77E5" w:rsidRPr="00AD3E63" w:rsidRDefault="00E37703" w:rsidP="00AD3E63">
      <w:pPr>
        <w:spacing w:before="100" w:beforeAutospacing="1"/>
        <w:jc w:val="both"/>
        <w:rPr>
          <w:b/>
          <w:lang w:val="en-US"/>
        </w:rPr>
      </w:pPr>
      <w:r w:rsidRPr="00AD3E63">
        <w:rPr>
          <w:rStyle w:val="FontStyle42"/>
          <w:b/>
          <w:sz w:val="24"/>
          <w:szCs w:val="24"/>
          <w:lang w:val="en-US"/>
        </w:rPr>
        <w:t>8</w:t>
      </w:r>
      <w:r w:rsidR="008E5AFC" w:rsidRPr="00AD3E63">
        <w:rPr>
          <w:rStyle w:val="FontStyle42"/>
          <w:b/>
          <w:sz w:val="24"/>
          <w:szCs w:val="24"/>
        </w:rPr>
        <w:t xml:space="preserve">. </w:t>
      </w:r>
      <w:r w:rsidR="002B77E5" w:rsidRPr="00AD3E63">
        <w:rPr>
          <w:b/>
          <w:lang w:val="en-US"/>
        </w:rPr>
        <w:t>Verification and reimbursement</w:t>
      </w:r>
      <w:r w:rsidR="00AD3E63">
        <w:rPr>
          <w:b/>
          <w:lang w:val="en-US"/>
        </w:rPr>
        <w:t>:</w:t>
      </w:r>
    </w:p>
    <w:p w14:paraId="7D94F6A7" w14:textId="77777777" w:rsidR="002B77E5" w:rsidRPr="00AD3E63" w:rsidRDefault="00AD3E63" w:rsidP="002B77E5">
      <w:pPr>
        <w:jc w:val="both"/>
        <w:rPr>
          <w:lang w:val="en-US"/>
        </w:rPr>
      </w:pPr>
      <w:r w:rsidRPr="00AD3E63">
        <w:rPr>
          <w:lang w:val="en-US"/>
        </w:rPr>
        <w:t xml:space="preserve">The applicant shall submit the request for reimbursement after the visit along with copies of all applicable documents – invoices, boarding passes, flights tickets, orders, reports, etc. The PO verifies the documents and makes a payment in 5 (five) working days after the approval of the request. </w:t>
      </w:r>
    </w:p>
    <w:bookmarkEnd w:id="1"/>
    <w:p w14:paraId="56C7550F" w14:textId="77777777" w:rsidR="00AD3E63" w:rsidRPr="00AD3E63" w:rsidRDefault="00AD3E63" w:rsidP="002B77E5">
      <w:pPr>
        <w:jc w:val="both"/>
        <w:rPr>
          <w:lang w:val="en-US"/>
        </w:rPr>
      </w:pPr>
    </w:p>
    <w:sectPr w:rsidR="00AD3E63" w:rsidRPr="00AD3E63" w:rsidSect="00F341E3">
      <w:headerReference w:type="default" r:id="rId7"/>
      <w:pgSz w:w="11906" w:h="16838"/>
      <w:pgMar w:top="1418" w:right="499" w:bottom="720" w:left="74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2F25A" w14:textId="77777777" w:rsidR="0008150C" w:rsidRDefault="0008150C" w:rsidP="00F341E3">
      <w:r>
        <w:separator/>
      </w:r>
    </w:p>
  </w:endnote>
  <w:endnote w:type="continuationSeparator" w:id="0">
    <w:p w14:paraId="1E6DA92B" w14:textId="77777777" w:rsidR="0008150C" w:rsidRDefault="0008150C" w:rsidP="00F3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82F71" w14:textId="77777777" w:rsidR="0008150C" w:rsidRDefault="0008150C" w:rsidP="00F341E3">
      <w:r>
        <w:separator/>
      </w:r>
    </w:p>
  </w:footnote>
  <w:footnote w:type="continuationSeparator" w:id="0">
    <w:p w14:paraId="761842E8" w14:textId="77777777" w:rsidR="0008150C" w:rsidRDefault="0008150C" w:rsidP="00F3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04F5B" w14:textId="77777777" w:rsidR="00F341E3" w:rsidRDefault="00F341E3" w:rsidP="00F341E3">
    <w:pPr>
      <w:spacing w:line="360" w:lineRule="auto"/>
      <w:ind w:left="2268"/>
      <w:jc w:val="right"/>
      <w:rPr>
        <w:rFonts w:ascii="Verdana" w:hAnsi="Verdana"/>
        <w:b/>
        <w:sz w:val="28"/>
        <w:szCs w:val="28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86AA4F7" wp14:editId="0E477000">
          <wp:simplePos x="0" y="0"/>
          <wp:positionH relativeFrom="column">
            <wp:posOffset>-283845</wp:posOffset>
          </wp:positionH>
          <wp:positionV relativeFrom="paragraph">
            <wp:posOffset>-125095</wp:posOffset>
          </wp:positionV>
          <wp:extent cx="1249045" cy="875665"/>
          <wp:effectExtent l="0" t="0" r="0" b="0"/>
          <wp:wrapSquare wrapText="bothSides"/>
          <wp:docPr id="9" name="Picture 9" descr="EEA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EA_grants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28"/>
        <w:szCs w:val="28"/>
        <w:lang w:val="en-US"/>
      </w:rPr>
      <w:t>Local Development, Poverty Reduction and Enhanced Inclusion of Vulnerable Groups</w:t>
    </w:r>
  </w:p>
  <w:p w14:paraId="16B11706" w14:textId="77777777" w:rsidR="00F341E3" w:rsidRPr="00F341E3" w:rsidRDefault="00F341E3" w:rsidP="00F341E3">
    <w:pPr>
      <w:spacing w:line="360" w:lineRule="auto"/>
      <w:jc w:val="right"/>
      <w:rPr>
        <w:rFonts w:ascii="Verdana" w:hAnsi="Verdana"/>
        <w:b/>
        <w:sz w:val="28"/>
        <w:szCs w:val="28"/>
        <w:lang w:val="ru-RU"/>
      </w:rPr>
    </w:pPr>
    <w:r>
      <w:rPr>
        <w:rFonts w:ascii="Verdana" w:hAnsi="Verdana"/>
        <w:b/>
        <w:sz w:val="28"/>
        <w:szCs w:val="28"/>
        <w:lang w:val="en-US"/>
      </w:rPr>
      <w:t>Financial Mechanism of EEA Grants 2014 - 2021</w:t>
    </w:r>
    <w:r>
      <w:rPr>
        <w:rFonts w:ascii="Verdana" w:hAnsi="Verdana"/>
        <w:b/>
        <w:sz w:val="28"/>
        <w:szCs w:val="28"/>
      </w:rPr>
      <w:t xml:space="preserve"> </w:t>
    </w:r>
  </w:p>
  <w:p w14:paraId="22CD072A" w14:textId="77777777" w:rsidR="00F341E3" w:rsidRDefault="00F34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EBB"/>
    <w:multiLevelType w:val="hybridMultilevel"/>
    <w:tmpl w:val="1B24771E"/>
    <w:lvl w:ilvl="0" w:tplc="3ED4C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60724B"/>
    <w:multiLevelType w:val="singleLevel"/>
    <w:tmpl w:val="AD80A1CA"/>
    <w:lvl w:ilvl="0">
      <w:start w:val="1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2" w15:restartNumberingAfterBreak="0">
    <w:nsid w:val="4B6227AF"/>
    <w:multiLevelType w:val="hybridMultilevel"/>
    <w:tmpl w:val="8ED87C68"/>
    <w:lvl w:ilvl="0" w:tplc="17EE44D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E24203"/>
    <w:multiLevelType w:val="hybridMultilevel"/>
    <w:tmpl w:val="53FC76EA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A26201"/>
    <w:multiLevelType w:val="hybridMultilevel"/>
    <w:tmpl w:val="04AA3552"/>
    <w:lvl w:ilvl="0" w:tplc="F27E6F68">
      <w:start w:val="1"/>
      <w:numFmt w:val="lowerLetter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786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647E080C"/>
    <w:multiLevelType w:val="hybridMultilevel"/>
    <w:tmpl w:val="D4E00E46"/>
    <w:lvl w:ilvl="0" w:tplc="DCB215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D35DA6"/>
    <w:multiLevelType w:val="singleLevel"/>
    <w:tmpl w:val="EAA2CAC8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26C5D14"/>
    <w:multiLevelType w:val="singleLevel"/>
    <w:tmpl w:val="ACAE0E6C"/>
    <w:lvl w:ilvl="0">
      <w:start w:val="2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8" w15:restartNumberingAfterBreak="0">
    <w:nsid w:val="775434D0"/>
    <w:multiLevelType w:val="singleLevel"/>
    <w:tmpl w:val="150CABF4"/>
    <w:lvl w:ilvl="0">
      <w:start w:val="2"/>
      <w:numFmt w:val="decimal"/>
      <w:lvlText w:val="%1."/>
      <w:legacy w:legacy="1" w:legacySpace="0" w:legacyIndent="216"/>
      <w:lvlJc w:val="left"/>
      <w:rPr>
        <w:rFonts w:ascii="Arial" w:hAnsi="Arial" w:cs="Arial" w:hint="default"/>
        <w:color w:val="auto"/>
      </w:rPr>
    </w:lvl>
  </w:abstractNum>
  <w:abstractNum w:abstractNumId="9" w15:restartNumberingAfterBreak="0">
    <w:nsid w:val="7A7B2254"/>
    <w:multiLevelType w:val="hybridMultilevel"/>
    <w:tmpl w:val="1874986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8E0BE3"/>
    <w:multiLevelType w:val="singleLevel"/>
    <w:tmpl w:val="96B4E49A"/>
    <w:lvl w:ilvl="0">
      <w:start w:val="2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20"/>
    <w:rsid w:val="00025DA0"/>
    <w:rsid w:val="00026D8D"/>
    <w:rsid w:val="0008150C"/>
    <w:rsid w:val="00086D4F"/>
    <w:rsid w:val="00093B94"/>
    <w:rsid w:val="00097112"/>
    <w:rsid w:val="000A29AB"/>
    <w:rsid w:val="000B7F10"/>
    <w:rsid w:val="000E08C4"/>
    <w:rsid w:val="000E485D"/>
    <w:rsid w:val="00102A4B"/>
    <w:rsid w:val="0010626D"/>
    <w:rsid w:val="001225D1"/>
    <w:rsid w:val="0013372D"/>
    <w:rsid w:val="00134BC7"/>
    <w:rsid w:val="00146916"/>
    <w:rsid w:val="00154E70"/>
    <w:rsid w:val="00180510"/>
    <w:rsid w:val="0018778D"/>
    <w:rsid w:val="001916CF"/>
    <w:rsid w:val="001B3D7C"/>
    <w:rsid w:val="001B5E00"/>
    <w:rsid w:val="001C0D25"/>
    <w:rsid w:val="001C6495"/>
    <w:rsid w:val="001D32A8"/>
    <w:rsid w:val="001D4A25"/>
    <w:rsid w:val="001E3FEB"/>
    <w:rsid w:val="001E640B"/>
    <w:rsid w:val="001F05C6"/>
    <w:rsid w:val="001F6302"/>
    <w:rsid w:val="00202346"/>
    <w:rsid w:val="00206C42"/>
    <w:rsid w:val="00206DA0"/>
    <w:rsid w:val="002145FC"/>
    <w:rsid w:val="0022427F"/>
    <w:rsid w:val="002535C5"/>
    <w:rsid w:val="002606F9"/>
    <w:rsid w:val="00282630"/>
    <w:rsid w:val="00286D6F"/>
    <w:rsid w:val="002910F0"/>
    <w:rsid w:val="00291FE7"/>
    <w:rsid w:val="0029781C"/>
    <w:rsid w:val="002B77E5"/>
    <w:rsid w:val="002E4F1C"/>
    <w:rsid w:val="002F45B2"/>
    <w:rsid w:val="002F767F"/>
    <w:rsid w:val="003038BE"/>
    <w:rsid w:val="00303A8B"/>
    <w:rsid w:val="00306586"/>
    <w:rsid w:val="003130C9"/>
    <w:rsid w:val="00341314"/>
    <w:rsid w:val="003425C1"/>
    <w:rsid w:val="0034705D"/>
    <w:rsid w:val="00364498"/>
    <w:rsid w:val="003746C4"/>
    <w:rsid w:val="00377436"/>
    <w:rsid w:val="0038277A"/>
    <w:rsid w:val="003859D7"/>
    <w:rsid w:val="00391B67"/>
    <w:rsid w:val="003B0DE3"/>
    <w:rsid w:val="003B6DA2"/>
    <w:rsid w:val="00401B9B"/>
    <w:rsid w:val="00423161"/>
    <w:rsid w:val="0046295E"/>
    <w:rsid w:val="0046639B"/>
    <w:rsid w:val="00477B61"/>
    <w:rsid w:val="0049273A"/>
    <w:rsid w:val="00493613"/>
    <w:rsid w:val="00494BA5"/>
    <w:rsid w:val="00495495"/>
    <w:rsid w:val="004955A2"/>
    <w:rsid w:val="004A4005"/>
    <w:rsid w:val="004B47B8"/>
    <w:rsid w:val="004B6EF0"/>
    <w:rsid w:val="004F2C6C"/>
    <w:rsid w:val="004F6AFC"/>
    <w:rsid w:val="00525AF6"/>
    <w:rsid w:val="00526A5D"/>
    <w:rsid w:val="00540CC4"/>
    <w:rsid w:val="005469F7"/>
    <w:rsid w:val="005527CA"/>
    <w:rsid w:val="005662CC"/>
    <w:rsid w:val="00571B2F"/>
    <w:rsid w:val="00583A18"/>
    <w:rsid w:val="00597C33"/>
    <w:rsid w:val="005A06F0"/>
    <w:rsid w:val="005A6D6E"/>
    <w:rsid w:val="005D2062"/>
    <w:rsid w:val="005E4115"/>
    <w:rsid w:val="005F097F"/>
    <w:rsid w:val="005F24AD"/>
    <w:rsid w:val="005F516A"/>
    <w:rsid w:val="00603B07"/>
    <w:rsid w:val="00612C47"/>
    <w:rsid w:val="00626715"/>
    <w:rsid w:val="00626A47"/>
    <w:rsid w:val="00641D84"/>
    <w:rsid w:val="0065014B"/>
    <w:rsid w:val="0065723B"/>
    <w:rsid w:val="00672211"/>
    <w:rsid w:val="00675AA3"/>
    <w:rsid w:val="00683D4F"/>
    <w:rsid w:val="0068565C"/>
    <w:rsid w:val="00692B99"/>
    <w:rsid w:val="00695A10"/>
    <w:rsid w:val="006A0BD1"/>
    <w:rsid w:val="006B753F"/>
    <w:rsid w:val="006C08AC"/>
    <w:rsid w:val="006C4038"/>
    <w:rsid w:val="006D31C2"/>
    <w:rsid w:val="006D3C74"/>
    <w:rsid w:val="006E3EF2"/>
    <w:rsid w:val="006E5D64"/>
    <w:rsid w:val="0070317A"/>
    <w:rsid w:val="0070529F"/>
    <w:rsid w:val="0071560A"/>
    <w:rsid w:val="00716F3A"/>
    <w:rsid w:val="0072367F"/>
    <w:rsid w:val="00732369"/>
    <w:rsid w:val="00744D19"/>
    <w:rsid w:val="0074609C"/>
    <w:rsid w:val="0077107E"/>
    <w:rsid w:val="00776D32"/>
    <w:rsid w:val="007813CA"/>
    <w:rsid w:val="00795D20"/>
    <w:rsid w:val="007972F0"/>
    <w:rsid w:val="007A7879"/>
    <w:rsid w:val="007B5101"/>
    <w:rsid w:val="007C3D3D"/>
    <w:rsid w:val="007D4A1E"/>
    <w:rsid w:val="007D5AFF"/>
    <w:rsid w:val="007D651A"/>
    <w:rsid w:val="007E4E16"/>
    <w:rsid w:val="007E5129"/>
    <w:rsid w:val="007F5160"/>
    <w:rsid w:val="007F772F"/>
    <w:rsid w:val="0080434F"/>
    <w:rsid w:val="00814DD9"/>
    <w:rsid w:val="00831281"/>
    <w:rsid w:val="00852642"/>
    <w:rsid w:val="008566AA"/>
    <w:rsid w:val="00860B0A"/>
    <w:rsid w:val="00860B52"/>
    <w:rsid w:val="008955DC"/>
    <w:rsid w:val="008969B2"/>
    <w:rsid w:val="008A1784"/>
    <w:rsid w:val="008A2166"/>
    <w:rsid w:val="008A74A4"/>
    <w:rsid w:val="008A74C4"/>
    <w:rsid w:val="008C1DDC"/>
    <w:rsid w:val="008E5AFC"/>
    <w:rsid w:val="00900564"/>
    <w:rsid w:val="00910558"/>
    <w:rsid w:val="00916FAF"/>
    <w:rsid w:val="00930101"/>
    <w:rsid w:val="00931D5D"/>
    <w:rsid w:val="00935FAC"/>
    <w:rsid w:val="0098512F"/>
    <w:rsid w:val="0098790E"/>
    <w:rsid w:val="00993E2C"/>
    <w:rsid w:val="00995239"/>
    <w:rsid w:val="009B07C7"/>
    <w:rsid w:val="009B683D"/>
    <w:rsid w:val="009D291B"/>
    <w:rsid w:val="009E67BD"/>
    <w:rsid w:val="00A04C13"/>
    <w:rsid w:val="00A45965"/>
    <w:rsid w:val="00A54D8F"/>
    <w:rsid w:val="00A60149"/>
    <w:rsid w:val="00A62FDB"/>
    <w:rsid w:val="00A7765B"/>
    <w:rsid w:val="00A8291C"/>
    <w:rsid w:val="00A831CF"/>
    <w:rsid w:val="00A91EB1"/>
    <w:rsid w:val="00AA7D6A"/>
    <w:rsid w:val="00AD3E63"/>
    <w:rsid w:val="00AE0021"/>
    <w:rsid w:val="00B02EEF"/>
    <w:rsid w:val="00B0412A"/>
    <w:rsid w:val="00B16AA1"/>
    <w:rsid w:val="00B425F8"/>
    <w:rsid w:val="00B473CE"/>
    <w:rsid w:val="00B57B4E"/>
    <w:rsid w:val="00B71F9D"/>
    <w:rsid w:val="00B93690"/>
    <w:rsid w:val="00BB5014"/>
    <w:rsid w:val="00BC5977"/>
    <w:rsid w:val="00BC67CF"/>
    <w:rsid w:val="00BD64C4"/>
    <w:rsid w:val="00BE3A72"/>
    <w:rsid w:val="00BE509E"/>
    <w:rsid w:val="00BF1CE8"/>
    <w:rsid w:val="00C0403A"/>
    <w:rsid w:val="00C16E9D"/>
    <w:rsid w:val="00C45320"/>
    <w:rsid w:val="00C4781D"/>
    <w:rsid w:val="00C51BDC"/>
    <w:rsid w:val="00C54E7C"/>
    <w:rsid w:val="00C623DB"/>
    <w:rsid w:val="00C660CF"/>
    <w:rsid w:val="00CA00C0"/>
    <w:rsid w:val="00CB126B"/>
    <w:rsid w:val="00CC22A9"/>
    <w:rsid w:val="00CD56A1"/>
    <w:rsid w:val="00CE63A2"/>
    <w:rsid w:val="00CF0340"/>
    <w:rsid w:val="00D14E34"/>
    <w:rsid w:val="00D20A2A"/>
    <w:rsid w:val="00D41FD5"/>
    <w:rsid w:val="00D44831"/>
    <w:rsid w:val="00D451B7"/>
    <w:rsid w:val="00D61F2E"/>
    <w:rsid w:val="00D752E2"/>
    <w:rsid w:val="00D82CE3"/>
    <w:rsid w:val="00DA0DBD"/>
    <w:rsid w:val="00DA4D63"/>
    <w:rsid w:val="00DE1970"/>
    <w:rsid w:val="00DE69BB"/>
    <w:rsid w:val="00E14159"/>
    <w:rsid w:val="00E15ADD"/>
    <w:rsid w:val="00E3707A"/>
    <w:rsid w:val="00E37703"/>
    <w:rsid w:val="00E422D4"/>
    <w:rsid w:val="00E426D7"/>
    <w:rsid w:val="00E95D2B"/>
    <w:rsid w:val="00EC7F54"/>
    <w:rsid w:val="00ED7F36"/>
    <w:rsid w:val="00F061AD"/>
    <w:rsid w:val="00F341E3"/>
    <w:rsid w:val="00F47B9D"/>
    <w:rsid w:val="00F633C3"/>
    <w:rsid w:val="00F72EBA"/>
    <w:rsid w:val="00F733ED"/>
    <w:rsid w:val="00F859D5"/>
    <w:rsid w:val="00FA6D5E"/>
    <w:rsid w:val="00FB2363"/>
    <w:rsid w:val="00FC3DBB"/>
    <w:rsid w:val="00FD0CAA"/>
    <w:rsid w:val="00FD6990"/>
    <w:rsid w:val="00FD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9AF8B"/>
  <w15:docId w15:val="{1547E71F-A13C-47DD-8477-648A9708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320"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53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9">
    <w:name w:val="Style29"/>
    <w:basedOn w:val="Normal"/>
    <w:rsid w:val="00C45320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41">
    <w:name w:val="Font Style41"/>
    <w:uiPriority w:val="99"/>
    <w:rsid w:val="00C4532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rsid w:val="00C45320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Normal"/>
    <w:rsid w:val="00C45320"/>
    <w:pPr>
      <w:widowControl w:val="0"/>
      <w:autoSpaceDE w:val="0"/>
      <w:autoSpaceDN w:val="0"/>
      <w:adjustRightInd w:val="0"/>
      <w:spacing w:line="230" w:lineRule="exact"/>
      <w:ind w:firstLine="931"/>
    </w:pPr>
  </w:style>
  <w:style w:type="paragraph" w:customStyle="1" w:styleId="Style32">
    <w:name w:val="Style32"/>
    <w:basedOn w:val="Normal"/>
    <w:rsid w:val="00C45320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33">
    <w:name w:val="Style33"/>
    <w:basedOn w:val="Normal"/>
    <w:rsid w:val="00C45320"/>
    <w:pPr>
      <w:widowControl w:val="0"/>
      <w:autoSpaceDE w:val="0"/>
      <w:autoSpaceDN w:val="0"/>
      <w:adjustRightInd w:val="0"/>
      <w:spacing w:line="230" w:lineRule="exact"/>
      <w:ind w:hanging="346"/>
      <w:jc w:val="both"/>
    </w:pPr>
  </w:style>
  <w:style w:type="paragraph" w:customStyle="1" w:styleId="Style26">
    <w:name w:val="Style26"/>
    <w:basedOn w:val="Normal"/>
    <w:rsid w:val="00C45320"/>
    <w:pPr>
      <w:widowControl w:val="0"/>
      <w:autoSpaceDE w:val="0"/>
      <w:autoSpaceDN w:val="0"/>
      <w:adjustRightInd w:val="0"/>
      <w:spacing w:line="230" w:lineRule="exact"/>
      <w:ind w:hanging="326"/>
      <w:jc w:val="both"/>
    </w:pPr>
  </w:style>
  <w:style w:type="paragraph" w:styleId="ListParagraph">
    <w:name w:val="List Paragraph"/>
    <w:basedOn w:val="Normal"/>
    <w:qFormat/>
    <w:rsid w:val="0034705D"/>
    <w:pPr>
      <w:ind w:left="720"/>
      <w:contextualSpacing/>
    </w:pPr>
    <w:rPr>
      <w:rFonts w:ascii="Verdana" w:eastAsia="MS Mincho" w:hAnsi="Verdana"/>
      <w:sz w:val="20"/>
      <w:lang w:val="en-GB" w:eastAsia="fr-FR"/>
    </w:rPr>
  </w:style>
  <w:style w:type="paragraph" w:customStyle="1" w:styleId="Default">
    <w:name w:val="Default"/>
    <w:rsid w:val="003470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F341E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341E3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F341E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341E3"/>
    <w:rPr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47B9D"/>
    <w:rPr>
      <w:rFonts w:ascii="Arial" w:hAnsi="Arial" w:cs="Arial"/>
      <w:b/>
      <w:bCs/>
      <w:i/>
      <w:iCs/>
      <w:sz w:val="28"/>
      <w:szCs w:val="28"/>
      <w:lang w:val="bg-BG" w:eastAsia="bg-BG"/>
    </w:rPr>
  </w:style>
  <w:style w:type="character" w:styleId="CommentReference">
    <w:name w:val="annotation reference"/>
    <w:basedOn w:val="DefaultParagraphFont"/>
    <w:rsid w:val="00B02E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2E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2EEF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B02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2EEF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B02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2EEF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Член 3</vt:lpstr>
    </vt:vector>
  </TitlesOfParts>
  <Company>mes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 3</dc:title>
  <dc:creator>m.teodorova</dc:creator>
  <cp:lastModifiedBy>Tzvetana L Guerdjikova</cp:lastModifiedBy>
  <cp:revision>2</cp:revision>
  <dcterms:created xsi:type="dcterms:W3CDTF">2018-09-11T10:09:00Z</dcterms:created>
  <dcterms:modified xsi:type="dcterms:W3CDTF">2018-09-11T10:09:00Z</dcterms:modified>
</cp:coreProperties>
</file>